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495" w:rsidRDefault="00E26495" w:rsidP="00E26495">
      <w:pPr>
        <w:pStyle w:val="3"/>
        <w:ind w:firstLine="0"/>
        <w:jc w:val="center"/>
      </w:pPr>
      <w:bookmarkStart w:id="0" w:name="_Toc8411549"/>
      <w:r>
        <w:t xml:space="preserve">Тема 38. </w:t>
      </w:r>
      <w:r w:rsidRPr="003B2454">
        <w:t>ПРОЦЕДУРА ПСИХОЛОГИЧЕСКОГО ЭКСПЕРИМЕНТА</w:t>
      </w:r>
      <w:bookmarkEnd w:id="0"/>
    </w:p>
    <w:p w:rsidR="009963E9" w:rsidRDefault="009963E9" w:rsidP="009963E9"/>
    <w:p w:rsidR="009963E9" w:rsidRDefault="009963E9" w:rsidP="009963E9"/>
    <w:p w:rsidR="009963E9" w:rsidRPr="009963E9" w:rsidRDefault="009963E9" w:rsidP="009963E9">
      <w:pPr>
        <w:rPr>
          <w:sz w:val="28"/>
          <w:szCs w:val="28"/>
        </w:rPr>
      </w:pPr>
      <w:r w:rsidRPr="009963E9">
        <w:rPr>
          <w:sz w:val="28"/>
          <w:szCs w:val="28"/>
        </w:rPr>
        <w:t>Вопросы:</w:t>
      </w:r>
    </w:p>
    <w:p w:rsidR="009963E9" w:rsidRPr="00E92AFB" w:rsidRDefault="009963E9" w:rsidP="009963E9">
      <w:pPr>
        <w:spacing w:line="276" w:lineRule="auto"/>
        <w:ind w:firstLine="567"/>
        <w:rPr>
          <w:bCs/>
          <w:sz w:val="28"/>
          <w:szCs w:val="28"/>
        </w:rPr>
      </w:pPr>
      <w:r w:rsidRPr="00E92AFB">
        <w:rPr>
          <w:bCs/>
          <w:sz w:val="28"/>
          <w:szCs w:val="28"/>
        </w:rPr>
        <w:t>1 Планирование эксперимента и моделирование</w:t>
      </w:r>
    </w:p>
    <w:p w:rsidR="009963E9" w:rsidRPr="00E92AFB" w:rsidRDefault="009963E9" w:rsidP="009963E9">
      <w:pPr>
        <w:spacing w:line="276" w:lineRule="auto"/>
        <w:ind w:firstLine="567"/>
        <w:rPr>
          <w:bCs/>
          <w:sz w:val="28"/>
          <w:szCs w:val="28"/>
        </w:rPr>
      </w:pPr>
      <w:r w:rsidRPr="00E92AFB">
        <w:rPr>
          <w:bCs/>
          <w:sz w:val="28"/>
          <w:szCs w:val="28"/>
        </w:rPr>
        <w:t xml:space="preserve">2 Проблемы конструирования личностных опросников </w:t>
      </w:r>
    </w:p>
    <w:p w:rsidR="009963E9" w:rsidRPr="00A77576" w:rsidRDefault="009963E9" w:rsidP="009963E9">
      <w:pPr>
        <w:spacing w:line="276" w:lineRule="auto"/>
        <w:ind w:firstLine="567"/>
        <w:rPr>
          <w:bCs/>
          <w:sz w:val="28"/>
          <w:szCs w:val="28"/>
        </w:rPr>
      </w:pPr>
      <w:r>
        <w:rPr>
          <w:bCs/>
          <w:sz w:val="28"/>
          <w:szCs w:val="28"/>
        </w:rPr>
        <w:t>3 Ф</w:t>
      </w:r>
      <w:r w:rsidRPr="00A77576">
        <w:rPr>
          <w:bCs/>
          <w:sz w:val="28"/>
          <w:szCs w:val="28"/>
        </w:rPr>
        <w:t>ормы формулирования вопросов (утверждений)</w:t>
      </w:r>
    </w:p>
    <w:p w:rsidR="009963E9" w:rsidRPr="00E92AFB" w:rsidRDefault="009963E9" w:rsidP="009963E9">
      <w:pPr>
        <w:spacing w:line="276" w:lineRule="auto"/>
        <w:ind w:firstLine="567"/>
        <w:rPr>
          <w:bCs/>
          <w:sz w:val="28"/>
          <w:szCs w:val="28"/>
        </w:rPr>
      </w:pPr>
      <w:r w:rsidRPr="00A77576">
        <w:rPr>
          <w:bCs/>
          <w:sz w:val="28"/>
          <w:szCs w:val="28"/>
        </w:rPr>
        <w:t>в личностных опросниках</w:t>
      </w:r>
    </w:p>
    <w:p w:rsidR="00E26495" w:rsidRDefault="00E26495" w:rsidP="00E26495"/>
    <w:p w:rsidR="00E26495" w:rsidRPr="00A77576" w:rsidRDefault="00E26495" w:rsidP="00E26495">
      <w:pPr>
        <w:rPr>
          <w:sz w:val="28"/>
          <w:szCs w:val="28"/>
        </w:rPr>
      </w:pPr>
      <w:r w:rsidRPr="00A77576">
        <w:rPr>
          <w:sz w:val="28"/>
          <w:szCs w:val="28"/>
        </w:rPr>
        <w:t>38.1 ПЛАНИРОВАНИЕ ЭКСПЕРИМЕНТА И МОДЕЛИРОВАНИЕ</w:t>
      </w:r>
    </w:p>
    <w:p w:rsidR="00E26495" w:rsidRDefault="00E26495" w:rsidP="00E26495">
      <w:pPr>
        <w:rPr>
          <w:sz w:val="28"/>
          <w:szCs w:val="28"/>
        </w:rPr>
      </w:pPr>
    </w:p>
    <w:p w:rsidR="00E26495" w:rsidRPr="00505F76" w:rsidRDefault="00E26495" w:rsidP="00E26495">
      <w:pPr>
        <w:pStyle w:val="2"/>
        <w:spacing w:after="0" w:line="240" w:lineRule="auto"/>
        <w:ind w:firstLine="709"/>
        <w:jc w:val="both"/>
        <w:rPr>
          <w:sz w:val="28"/>
          <w:szCs w:val="28"/>
        </w:rPr>
      </w:pPr>
      <w:r w:rsidRPr="00505F76">
        <w:rPr>
          <w:sz w:val="28"/>
          <w:szCs w:val="28"/>
        </w:rPr>
        <w:t>Особенно актуальной проблема методологии является для спортивной психологии, когда на экспериментально полученных данных строятся вся система психологической подготовки спортсмена. И если на уровнях методологического подхода и организации исследования особенности конкретного вида спорта не столь очевидны, то уже на уровне метода обнаруживается специфика профессиональной деятельности спортсменов, которая существенно влияет выбор и применение методических приемов и конкретных методик, поэтому обязательно должна учитываться в процессе исследования.</w:t>
      </w:r>
    </w:p>
    <w:p w:rsidR="00E26495" w:rsidRPr="00505F76" w:rsidRDefault="00E26495" w:rsidP="00E26495">
      <w:pPr>
        <w:pStyle w:val="2"/>
        <w:spacing w:after="0" w:line="240" w:lineRule="auto"/>
        <w:ind w:firstLine="709"/>
        <w:jc w:val="both"/>
        <w:rPr>
          <w:sz w:val="28"/>
          <w:szCs w:val="28"/>
        </w:rPr>
      </w:pPr>
      <w:r w:rsidRPr="00505F76">
        <w:rPr>
          <w:sz w:val="28"/>
          <w:szCs w:val="28"/>
        </w:rPr>
        <w:t xml:space="preserve">Основная форма применения метода эксперимента предполагает создание ситуации, в которой исследователь изменяет определенное условие (задание, объем или форму предъявления стимульного материала, варианты ответа испытуемого и т.д.). В спортивной психологии такие эксперименты проводятся для изучения особенностей оперативного мышления [7], вероятностного прогнозирования [8], перцептивной антиципации (РДО) [9] и других качеств. В таблице 1 представлен пример программы эксперимента, проводимого для оценки актуальных психических качеств спортсменов в единоборствах и спортивных играх. </w:t>
      </w:r>
    </w:p>
    <w:p w:rsidR="00E26495" w:rsidRPr="00505F76" w:rsidRDefault="00E26495" w:rsidP="009963E9">
      <w:pPr>
        <w:pStyle w:val="2"/>
        <w:spacing w:after="0" w:line="240" w:lineRule="auto"/>
        <w:ind w:firstLine="709"/>
        <w:jc w:val="both"/>
        <w:rPr>
          <w:sz w:val="28"/>
          <w:szCs w:val="28"/>
        </w:rPr>
      </w:pPr>
      <w:r w:rsidRPr="00505F76">
        <w:rPr>
          <w:bCs/>
          <w:sz w:val="28"/>
          <w:szCs w:val="28"/>
        </w:rPr>
        <w:t xml:space="preserve">Таблица 1 - Программа эксперимента по изучению психических качеств, актуальных для тактической деятельности в </w:t>
      </w:r>
      <w:r w:rsidRPr="00505F76">
        <w:rPr>
          <w:sz w:val="28"/>
          <w:szCs w:val="28"/>
        </w:rPr>
        <w:t>единоборствах и спортивных играх</w:t>
      </w:r>
    </w:p>
    <w:tbl>
      <w:tblPr>
        <w:tblW w:w="0" w:type="auto"/>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209"/>
        <w:gridCol w:w="2261"/>
        <w:gridCol w:w="2551"/>
        <w:gridCol w:w="2261"/>
      </w:tblGrid>
      <w:tr w:rsidR="00E26495" w:rsidRPr="00505F76" w:rsidTr="000B35F2">
        <w:tc>
          <w:tcPr>
            <w:tcW w:w="2209" w:type="dxa"/>
            <w:vMerge w:val="restart"/>
            <w:tcBorders>
              <w:top w:val="single" w:sz="12" w:space="0" w:color="auto"/>
              <w:bottom w:val="single" w:sz="12" w:space="0" w:color="auto"/>
              <w:right w:val="single" w:sz="12" w:space="0" w:color="auto"/>
            </w:tcBorders>
            <w:vAlign w:val="center"/>
          </w:tcPr>
          <w:p w:rsidR="00E26495" w:rsidRPr="009963E9" w:rsidRDefault="00E26495" w:rsidP="000B35F2">
            <w:pPr>
              <w:jc w:val="center"/>
              <w:rPr>
                <w:bCs/>
                <w:sz w:val="24"/>
                <w:szCs w:val="24"/>
              </w:rPr>
            </w:pPr>
            <w:r w:rsidRPr="009963E9">
              <w:rPr>
                <w:bCs/>
                <w:sz w:val="24"/>
                <w:szCs w:val="24"/>
              </w:rPr>
              <w:t>Исследуемое</w:t>
            </w:r>
          </w:p>
          <w:p w:rsidR="00E26495" w:rsidRPr="009963E9" w:rsidRDefault="00E26495" w:rsidP="000B35F2">
            <w:pPr>
              <w:jc w:val="center"/>
              <w:rPr>
                <w:bCs/>
                <w:sz w:val="24"/>
                <w:szCs w:val="24"/>
              </w:rPr>
            </w:pPr>
            <w:r w:rsidRPr="009963E9">
              <w:rPr>
                <w:bCs/>
                <w:sz w:val="24"/>
                <w:szCs w:val="24"/>
              </w:rPr>
              <w:t>качество</w:t>
            </w:r>
          </w:p>
        </w:tc>
        <w:tc>
          <w:tcPr>
            <w:tcW w:w="7073" w:type="dxa"/>
            <w:gridSpan w:val="3"/>
            <w:tcBorders>
              <w:left w:val="single" w:sz="12" w:space="0" w:color="auto"/>
            </w:tcBorders>
            <w:vAlign w:val="center"/>
          </w:tcPr>
          <w:p w:rsidR="00E26495" w:rsidRPr="009963E9" w:rsidRDefault="00E26495" w:rsidP="000B35F2">
            <w:pPr>
              <w:jc w:val="center"/>
              <w:rPr>
                <w:bCs/>
                <w:sz w:val="24"/>
                <w:szCs w:val="24"/>
              </w:rPr>
            </w:pPr>
            <w:r w:rsidRPr="009963E9">
              <w:rPr>
                <w:bCs/>
                <w:sz w:val="24"/>
                <w:szCs w:val="24"/>
              </w:rPr>
              <w:t>Условия эксперимента</w:t>
            </w:r>
          </w:p>
        </w:tc>
      </w:tr>
      <w:tr w:rsidR="00E26495" w:rsidRPr="00505F76" w:rsidTr="000B35F2">
        <w:tc>
          <w:tcPr>
            <w:tcW w:w="2209" w:type="dxa"/>
            <w:vMerge/>
            <w:tcBorders>
              <w:top w:val="single" w:sz="4" w:space="0" w:color="auto"/>
              <w:bottom w:val="single" w:sz="12" w:space="0" w:color="auto"/>
              <w:right w:val="single" w:sz="12" w:space="0" w:color="auto"/>
            </w:tcBorders>
            <w:vAlign w:val="center"/>
          </w:tcPr>
          <w:p w:rsidR="00E26495" w:rsidRPr="009963E9" w:rsidRDefault="00E26495" w:rsidP="000B35F2">
            <w:pPr>
              <w:jc w:val="center"/>
              <w:rPr>
                <w:bCs/>
                <w:sz w:val="24"/>
                <w:szCs w:val="24"/>
              </w:rPr>
            </w:pPr>
          </w:p>
        </w:tc>
        <w:tc>
          <w:tcPr>
            <w:tcW w:w="2261" w:type="dxa"/>
            <w:tcBorders>
              <w:left w:val="single" w:sz="12" w:space="0" w:color="auto"/>
              <w:bottom w:val="single" w:sz="12" w:space="0" w:color="auto"/>
            </w:tcBorders>
            <w:vAlign w:val="center"/>
          </w:tcPr>
          <w:p w:rsidR="00E26495" w:rsidRPr="009963E9" w:rsidRDefault="00E26495" w:rsidP="000B35F2">
            <w:pPr>
              <w:jc w:val="center"/>
              <w:rPr>
                <w:bCs/>
                <w:sz w:val="24"/>
                <w:szCs w:val="24"/>
              </w:rPr>
            </w:pPr>
            <w:r w:rsidRPr="009963E9">
              <w:rPr>
                <w:bCs/>
                <w:sz w:val="24"/>
                <w:szCs w:val="24"/>
              </w:rPr>
              <w:t>1</w:t>
            </w:r>
          </w:p>
        </w:tc>
        <w:tc>
          <w:tcPr>
            <w:tcW w:w="2551" w:type="dxa"/>
            <w:tcBorders>
              <w:bottom w:val="single" w:sz="12" w:space="0" w:color="auto"/>
            </w:tcBorders>
            <w:vAlign w:val="center"/>
          </w:tcPr>
          <w:p w:rsidR="00E26495" w:rsidRPr="009963E9" w:rsidRDefault="00E26495" w:rsidP="000B35F2">
            <w:pPr>
              <w:jc w:val="center"/>
              <w:rPr>
                <w:bCs/>
                <w:sz w:val="24"/>
                <w:szCs w:val="24"/>
              </w:rPr>
            </w:pPr>
            <w:r w:rsidRPr="009963E9">
              <w:rPr>
                <w:bCs/>
                <w:sz w:val="24"/>
                <w:szCs w:val="24"/>
              </w:rPr>
              <w:t>2</w:t>
            </w:r>
          </w:p>
        </w:tc>
        <w:tc>
          <w:tcPr>
            <w:tcW w:w="2261" w:type="dxa"/>
            <w:tcBorders>
              <w:bottom w:val="single" w:sz="12" w:space="0" w:color="auto"/>
            </w:tcBorders>
            <w:vAlign w:val="center"/>
          </w:tcPr>
          <w:p w:rsidR="00E26495" w:rsidRPr="009963E9" w:rsidRDefault="00E26495" w:rsidP="000B35F2">
            <w:pPr>
              <w:jc w:val="center"/>
              <w:rPr>
                <w:bCs/>
                <w:sz w:val="24"/>
                <w:szCs w:val="24"/>
              </w:rPr>
            </w:pPr>
            <w:r w:rsidRPr="009963E9">
              <w:rPr>
                <w:bCs/>
                <w:sz w:val="24"/>
                <w:szCs w:val="24"/>
              </w:rPr>
              <w:t>3</w:t>
            </w:r>
          </w:p>
        </w:tc>
      </w:tr>
      <w:tr w:rsidR="00E26495" w:rsidRPr="00505F76" w:rsidTr="000B35F2">
        <w:trPr>
          <w:trHeight w:val="1058"/>
        </w:trPr>
        <w:tc>
          <w:tcPr>
            <w:tcW w:w="2209" w:type="dxa"/>
            <w:tcBorders>
              <w:top w:val="single" w:sz="12" w:space="0" w:color="auto"/>
              <w:right w:val="single" w:sz="12" w:space="0" w:color="auto"/>
            </w:tcBorders>
            <w:vAlign w:val="center"/>
          </w:tcPr>
          <w:p w:rsidR="00E26495" w:rsidRPr="009963E9" w:rsidRDefault="00E26495" w:rsidP="000B35F2">
            <w:pPr>
              <w:jc w:val="center"/>
              <w:rPr>
                <w:bCs/>
                <w:sz w:val="24"/>
                <w:szCs w:val="24"/>
              </w:rPr>
            </w:pPr>
            <w:r w:rsidRPr="009963E9">
              <w:rPr>
                <w:bCs/>
                <w:sz w:val="24"/>
                <w:szCs w:val="24"/>
              </w:rPr>
              <w:t>Оперативное мышление</w:t>
            </w:r>
          </w:p>
        </w:tc>
        <w:tc>
          <w:tcPr>
            <w:tcW w:w="2261" w:type="dxa"/>
            <w:tcBorders>
              <w:top w:val="single" w:sz="12" w:space="0" w:color="auto"/>
              <w:left w:val="single" w:sz="12" w:space="0" w:color="auto"/>
              <w:bottom w:val="single" w:sz="4" w:space="0" w:color="auto"/>
            </w:tcBorders>
            <w:vAlign w:val="center"/>
          </w:tcPr>
          <w:p w:rsidR="00E26495" w:rsidRPr="009963E9" w:rsidRDefault="00E26495" w:rsidP="000B35F2">
            <w:pPr>
              <w:jc w:val="center"/>
              <w:rPr>
                <w:bCs/>
                <w:sz w:val="24"/>
                <w:szCs w:val="24"/>
              </w:rPr>
            </w:pPr>
            <w:r w:rsidRPr="009963E9">
              <w:rPr>
                <w:bCs/>
                <w:sz w:val="24"/>
                <w:szCs w:val="24"/>
              </w:rPr>
              <w:t>Решение задачи на перестановку фишек в 5 ходов</w:t>
            </w:r>
          </w:p>
        </w:tc>
        <w:tc>
          <w:tcPr>
            <w:tcW w:w="2551" w:type="dxa"/>
            <w:tcBorders>
              <w:top w:val="single" w:sz="12" w:space="0" w:color="auto"/>
              <w:bottom w:val="single" w:sz="4" w:space="0" w:color="auto"/>
            </w:tcBorders>
            <w:vAlign w:val="center"/>
          </w:tcPr>
          <w:p w:rsidR="00E26495" w:rsidRPr="009963E9" w:rsidRDefault="00E26495" w:rsidP="000B35F2">
            <w:pPr>
              <w:jc w:val="center"/>
              <w:rPr>
                <w:bCs/>
                <w:sz w:val="24"/>
                <w:szCs w:val="24"/>
              </w:rPr>
            </w:pPr>
            <w:r w:rsidRPr="009963E9">
              <w:rPr>
                <w:bCs/>
                <w:sz w:val="24"/>
                <w:szCs w:val="24"/>
              </w:rPr>
              <w:t>Решение задачи на перестановку фишек в 12 ходов</w:t>
            </w:r>
          </w:p>
        </w:tc>
        <w:tc>
          <w:tcPr>
            <w:tcW w:w="2261" w:type="dxa"/>
            <w:tcBorders>
              <w:top w:val="single" w:sz="12" w:space="0" w:color="auto"/>
              <w:bottom w:val="single" w:sz="4" w:space="0" w:color="auto"/>
            </w:tcBorders>
            <w:vAlign w:val="center"/>
          </w:tcPr>
          <w:p w:rsidR="00E26495" w:rsidRPr="009963E9" w:rsidRDefault="00E26495" w:rsidP="000B35F2">
            <w:pPr>
              <w:jc w:val="center"/>
              <w:rPr>
                <w:bCs/>
                <w:sz w:val="24"/>
                <w:szCs w:val="24"/>
              </w:rPr>
            </w:pPr>
            <w:r w:rsidRPr="009963E9">
              <w:rPr>
                <w:bCs/>
                <w:sz w:val="24"/>
                <w:szCs w:val="24"/>
              </w:rPr>
              <w:t>Решение задачи на перестановку фишек в 24 хода</w:t>
            </w:r>
          </w:p>
        </w:tc>
      </w:tr>
      <w:tr w:rsidR="00E26495" w:rsidRPr="00505F76" w:rsidTr="000B35F2">
        <w:trPr>
          <w:trHeight w:val="1254"/>
        </w:trPr>
        <w:tc>
          <w:tcPr>
            <w:tcW w:w="2209" w:type="dxa"/>
            <w:tcBorders>
              <w:right w:val="single" w:sz="12" w:space="0" w:color="auto"/>
            </w:tcBorders>
            <w:vAlign w:val="center"/>
          </w:tcPr>
          <w:p w:rsidR="00E26495" w:rsidRPr="009963E9" w:rsidRDefault="00E26495" w:rsidP="000B35F2">
            <w:pPr>
              <w:jc w:val="center"/>
              <w:rPr>
                <w:bCs/>
                <w:sz w:val="24"/>
                <w:szCs w:val="24"/>
              </w:rPr>
            </w:pPr>
            <w:r w:rsidRPr="009963E9">
              <w:rPr>
                <w:bCs/>
                <w:sz w:val="24"/>
                <w:szCs w:val="24"/>
              </w:rPr>
              <w:t>Вероятностное прогнозирование</w:t>
            </w:r>
          </w:p>
        </w:tc>
        <w:tc>
          <w:tcPr>
            <w:tcW w:w="2261" w:type="dxa"/>
            <w:tcBorders>
              <w:top w:val="single" w:sz="4" w:space="0" w:color="auto"/>
              <w:left w:val="single" w:sz="12" w:space="0" w:color="auto"/>
              <w:bottom w:val="single" w:sz="4" w:space="0" w:color="auto"/>
            </w:tcBorders>
            <w:vAlign w:val="center"/>
          </w:tcPr>
          <w:p w:rsidR="00E26495" w:rsidRPr="009963E9" w:rsidRDefault="00E26495" w:rsidP="000B35F2">
            <w:pPr>
              <w:jc w:val="center"/>
              <w:rPr>
                <w:bCs/>
                <w:sz w:val="24"/>
                <w:szCs w:val="24"/>
              </w:rPr>
            </w:pPr>
            <w:r w:rsidRPr="009963E9">
              <w:rPr>
                <w:bCs/>
                <w:sz w:val="24"/>
                <w:szCs w:val="24"/>
              </w:rPr>
              <w:t>Прогнозирование вероятностной стратегии соперника</w:t>
            </w:r>
          </w:p>
        </w:tc>
        <w:tc>
          <w:tcPr>
            <w:tcW w:w="2551" w:type="dxa"/>
            <w:tcBorders>
              <w:top w:val="single" w:sz="4" w:space="0" w:color="auto"/>
              <w:bottom w:val="single" w:sz="4" w:space="0" w:color="auto"/>
            </w:tcBorders>
            <w:vAlign w:val="center"/>
          </w:tcPr>
          <w:p w:rsidR="00E26495" w:rsidRPr="009963E9" w:rsidRDefault="00E26495" w:rsidP="000B35F2">
            <w:pPr>
              <w:jc w:val="center"/>
              <w:rPr>
                <w:bCs/>
                <w:sz w:val="24"/>
                <w:szCs w:val="24"/>
              </w:rPr>
            </w:pPr>
            <w:r w:rsidRPr="009963E9">
              <w:rPr>
                <w:bCs/>
                <w:sz w:val="24"/>
                <w:szCs w:val="24"/>
              </w:rPr>
              <w:t xml:space="preserve">Прогнозирование детерминированной </w:t>
            </w:r>
            <w:bookmarkStart w:id="1" w:name="_GoBack"/>
            <w:bookmarkEnd w:id="1"/>
            <w:r w:rsidRPr="009963E9">
              <w:rPr>
                <w:bCs/>
                <w:sz w:val="24"/>
                <w:szCs w:val="24"/>
              </w:rPr>
              <w:t>стратегии соперника</w:t>
            </w:r>
          </w:p>
        </w:tc>
        <w:tc>
          <w:tcPr>
            <w:tcW w:w="2261" w:type="dxa"/>
            <w:tcBorders>
              <w:top w:val="single" w:sz="4" w:space="0" w:color="auto"/>
              <w:bottom w:val="single" w:sz="4" w:space="0" w:color="auto"/>
            </w:tcBorders>
            <w:vAlign w:val="center"/>
          </w:tcPr>
          <w:p w:rsidR="00E26495" w:rsidRPr="009963E9" w:rsidRDefault="00E26495" w:rsidP="000B35F2">
            <w:pPr>
              <w:jc w:val="center"/>
              <w:rPr>
                <w:bCs/>
                <w:sz w:val="24"/>
                <w:szCs w:val="24"/>
              </w:rPr>
            </w:pPr>
            <w:r w:rsidRPr="009963E9">
              <w:rPr>
                <w:bCs/>
                <w:sz w:val="24"/>
                <w:szCs w:val="24"/>
              </w:rPr>
              <w:t>Прогнозирование рефлексивной стратегии соперника</w:t>
            </w:r>
          </w:p>
        </w:tc>
      </w:tr>
      <w:tr w:rsidR="00E26495" w:rsidRPr="009963E9" w:rsidTr="000B35F2">
        <w:trPr>
          <w:trHeight w:val="1433"/>
        </w:trPr>
        <w:tc>
          <w:tcPr>
            <w:tcW w:w="2209" w:type="dxa"/>
            <w:tcBorders>
              <w:right w:val="single" w:sz="12" w:space="0" w:color="auto"/>
            </w:tcBorders>
            <w:vAlign w:val="center"/>
          </w:tcPr>
          <w:p w:rsidR="00E26495" w:rsidRPr="009963E9" w:rsidRDefault="00E26495" w:rsidP="000B35F2">
            <w:pPr>
              <w:pStyle w:val="2"/>
              <w:spacing w:after="0" w:line="240" w:lineRule="auto"/>
              <w:ind w:hanging="4"/>
              <w:jc w:val="center"/>
            </w:pPr>
            <w:r w:rsidRPr="009963E9">
              <w:lastRenderedPageBreak/>
              <w:t>Перцептивная антиципация</w:t>
            </w:r>
          </w:p>
          <w:p w:rsidR="00E26495" w:rsidRPr="009963E9" w:rsidRDefault="00E26495" w:rsidP="000B35F2">
            <w:pPr>
              <w:pStyle w:val="2"/>
              <w:spacing w:after="0" w:line="240" w:lineRule="auto"/>
              <w:ind w:firstLine="709"/>
              <w:jc w:val="center"/>
            </w:pPr>
            <w:r w:rsidRPr="009963E9">
              <w:t>(РДО)</w:t>
            </w:r>
          </w:p>
        </w:tc>
        <w:tc>
          <w:tcPr>
            <w:tcW w:w="2261" w:type="dxa"/>
            <w:tcBorders>
              <w:top w:val="single" w:sz="4" w:space="0" w:color="auto"/>
              <w:left w:val="single" w:sz="12" w:space="0" w:color="auto"/>
              <w:bottom w:val="single" w:sz="12" w:space="0" w:color="auto"/>
            </w:tcBorders>
            <w:vAlign w:val="center"/>
          </w:tcPr>
          <w:p w:rsidR="00E26495" w:rsidRPr="009963E9" w:rsidRDefault="00E26495" w:rsidP="000B35F2">
            <w:pPr>
              <w:pStyle w:val="2"/>
              <w:spacing w:after="0" w:line="240" w:lineRule="auto"/>
              <w:jc w:val="center"/>
            </w:pPr>
            <w:r w:rsidRPr="009963E9">
              <w:t>Реакция на движущийся объект в стандартных условиях</w:t>
            </w:r>
          </w:p>
        </w:tc>
        <w:tc>
          <w:tcPr>
            <w:tcW w:w="2551" w:type="dxa"/>
            <w:tcBorders>
              <w:top w:val="single" w:sz="4" w:space="0" w:color="auto"/>
              <w:bottom w:val="single" w:sz="12" w:space="0" w:color="auto"/>
            </w:tcBorders>
            <w:vAlign w:val="center"/>
          </w:tcPr>
          <w:p w:rsidR="00E26495" w:rsidRPr="009963E9" w:rsidRDefault="00E26495" w:rsidP="000B35F2">
            <w:pPr>
              <w:pStyle w:val="2"/>
              <w:spacing w:after="0" w:line="240" w:lineRule="auto"/>
              <w:ind w:firstLine="66"/>
              <w:jc w:val="center"/>
            </w:pPr>
            <w:r w:rsidRPr="009963E9">
              <w:t>Реакция на движущийся объект с помехой</w:t>
            </w:r>
          </w:p>
        </w:tc>
        <w:tc>
          <w:tcPr>
            <w:tcW w:w="2261" w:type="dxa"/>
            <w:tcBorders>
              <w:top w:val="single" w:sz="4" w:space="0" w:color="auto"/>
              <w:bottom w:val="single" w:sz="12" w:space="0" w:color="auto"/>
            </w:tcBorders>
            <w:vAlign w:val="center"/>
          </w:tcPr>
          <w:p w:rsidR="00E26495" w:rsidRPr="009963E9" w:rsidRDefault="00E26495" w:rsidP="000B35F2">
            <w:pPr>
              <w:pStyle w:val="2"/>
              <w:spacing w:after="0" w:line="240" w:lineRule="auto"/>
              <w:ind w:hanging="6"/>
              <w:jc w:val="center"/>
            </w:pPr>
            <w:r w:rsidRPr="009963E9">
              <w:t>Реакция на движущийся объект с ускорением движения объекта</w:t>
            </w:r>
          </w:p>
        </w:tc>
      </w:tr>
    </w:tbl>
    <w:p w:rsidR="00E26495" w:rsidRPr="00505F76" w:rsidRDefault="00E26495" w:rsidP="00E26495">
      <w:pPr>
        <w:pStyle w:val="2"/>
        <w:spacing w:line="240" w:lineRule="auto"/>
        <w:ind w:firstLine="709"/>
        <w:jc w:val="both"/>
        <w:rPr>
          <w:sz w:val="28"/>
          <w:szCs w:val="28"/>
        </w:rPr>
      </w:pPr>
      <w:r w:rsidRPr="00505F76">
        <w:rPr>
          <w:sz w:val="28"/>
          <w:szCs w:val="28"/>
        </w:rPr>
        <w:t>Рассмотренный выше вариант эксперимента широко применяется не только в психологии, но также в биологии, физике, химии и других естественных науках, и отнесение его к эмпирическим методам исследования полностью оправдано.</w:t>
      </w:r>
    </w:p>
    <w:p w:rsidR="00E26495" w:rsidRPr="00505F76" w:rsidRDefault="00E26495" w:rsidP="00E26495">
      <w:pPr>
        <w:pStyle w:val="2"/>
        <w:spacing w:after="0" w:line="240" w:lineRule="auto"/>
        <w:ind w:firstLine="709"/>
        <w:jc w:val="both"/>
        <w:rPr>
          <w:sz w:val="28"/>
          <w:szCs w:val="28"/>
        </w:rPr>
      </w:pPr>
      <w:r w:rsidRPr="00505F76">
        <w:rPr>
          <w:sz w:val="28"/>
          <w:szCs w:val="28"/>
        </w:rPr>
        <w:t>В социологических и гуманитарных науках более распространена другая форма эксперимента, предполагающая выделение контрольной и экспериментальной группы. На рисунке 1 представлена схема формирующего психолого-педагогического эксперимента, традиционно используемая для проверки эффективности новой методики обучения или развития определенных качеств. В приведенном примере в качестве основного метода статистической обработки результатов предлагается оценка достоверности различий (например, по t-критерию Стьюдента). При этом ключевыми этапами психолого-педагогического эксперимента будут:</w:t>
      </w:r>
    </w:p>
    <w:p w:rsidR="00E26495" w:rsidRPr="00505F76" w:rsidRDefault="00E26495" w:rsidP="00E26495">
      <w:pPr>
        <w:pStyle w:val="2"/>
        <w:numPr>
          <w:ilvl w:val="0"/>
          <w:numId w:val="1"/>
        </w:numPr>
        <w:spacing w:after="0" w:line="240" w:lineRule="auto"/>
        <w:ind w:left="709"/>
        <w:jc w:val="both"/>
        <w:rPr>
          <w:sz w:val="28"/>
          <w:szCs w:val="28"/>
        </w:rPr>
      </w:pPr>
      <w:r w:rsidRPr="00505F76">
        <w:rPr>
          <w:sz w:val="28"/>
          <w:szCs w:val="28"/>
        </w:rPr>
        <w:t>формирование репрезентативной выборки;</w:t>
      </w:r>
    </w:p>
    <w:p w:rsidR="00E26495" w:rsidRPr="00505F76" w:rsidRDefault="00E26495" w:rsidP="00E26495">
      <w:pPr>
        <w:pStyle w:val="2"/>
        <w:numPr>
          <w:ilvl w:val="0"/>
          <w:numId w:val="1"/>
        </w:numPr>
        <w:spacing w:after="0" w:line="240" w:lineRule="auto"/>
        <w:ind w:left="709"/>
        <w:jc w:val="both"/>
        <w:rPr>
          <w:sz w:val="28"/>
          <w:szCs w:val="28"/>
        </w:rPr>
      </w:pPr>
      <w:r w:rsidRPr="00505F76">
        <w:rPr>
          <w:sz w:val="28"/>
          <w:szCs w:val="28"/>
        </w:rPr>
        <w:t>разделение выборки на экспериментальную и контрольную группы и проверка адекватности этого разделения (1);</w:t>
      </w:r>
    </w:p>
    <w:p w:rsidR="00E26495" w:rsidRPr="00505F76" w:rsidRDefault="00E26495" w:rsidP="00E26495">
      <w:pPr>
        <w:pStyle w:val="2"/>
        <w:numPr>
          <w:ilvl w:val="0"/>
          <w:numId w:val="1"/>
        </w:numPr>
        <w:spacing w:after="0" w:line="240" w:lineRule="auto"/>
        <w:ind w:left="709"/>
        <w:jc w:val="both"/>
        <w:rPr>
          <w:sz w:val="28"/>
          <w:szCs w:val="28"/>
        </w:rPr>
      </w:pPr>
      <w:r w:rsidRPr="00505F76">
        <w:rPr>
          <w:sz w:val="28"/>
          <w:szCs w:val="28"/>
        </w:rPr>
        <w:t>выполнение работы по методике с получением значимых различий (2);</w:t>
      </w:r>
    </w:p>
    <w:p w:rsidR="00E26495" w:rsidRPr="00505F76" w:rsidRDefault="00E26495" w:rsidP="00E26495">
      <w:pPr>
        <w:pStyle w:val="2"/>
        <w:numPr>
          <w:ilvl w:val="0"/>
          <w:numId w:val="1"/>
        </w:numPr>
        <w:spacing w:after="0" w:line="240" w:lineRule="auto"/>
        <w:ind w:left="709"/>
        <w:jc w:val="both"/>
        <w:rPr>
          <w:sz w:val="28"/>
          <w:szCs w:val="28"/>
        </w:rPr>
      </w:pPr>
      <w:r w:rsidRPr="00505F76">
        <w:rPr>
          <w:sz w:val="28"/>
          <w:szCs w:val="28"/>
        </w:rPr>
        <w:t>проверка наличия достоверных различий в показателях экспериментальной и контрольной групп (3).</w:t>
      </w:r>
    </w:p>
    <w:p w:rsidR="00E26495" w:rsidRPr="00505F76" w:rsidRDefault="00E26495" w:rsidP="00E26495">
      <w:pPr>
        <w:jc w:val="both"/>
        <w:rPr>
          <w:sz w:val="28"/>
          <w:szCs w:val="28"/>
        </w:rPr>
      </w:pPr>
    </w:p>
    <w:tbl>
      <w:tblPr>
        <w:tblW w:w="7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521"/>
        <w:gridCol w:w="1799"/>
        <w:gridCol w:w="2881"/>
      </w:tblGrid>
      <w:tr w:rsidR="00E26495" w:rsidRPr="00505F76" w:rsidTr="000B35F2">
        <w:trPr>
          <w:jc w:val="center"/>
        </w:trPr>
        <w:tc>
          <w:tcPr>
            <w:tcW w:w="540" w:type="dxa"/>
            <w:tcBorders>
              <w:top w:val="nil"/>
              <w:left w:val="nil"/>
              <w:bottom w:val="nil"/>
              <w:right w:val="single" w:sz="12" w:space="0" w:color="auto"/>
            </w:tcBorders>
          </w:tcPr>
          <w:p w:rsidR="00E26495" w:rsidRPr="00505F76" w:rsidRDefault="00E26495" w:rsidP="000B35F2">
            <w:pPr>
              <w:jc w:val="both"/>
              <w:rPr>
                <w:b/>
                <w:bCs/>
                <w:sz w:val="28"/>
                <w:szCs w:val="28"/>
              </w:rPr>
            </w:pPr>
          </w:p>
        </w:tc>
        <w:tc>
          <w:tcPr>
            <w:tcW w:w="7201" w:type="dxa"/>
            <w:gridSpan w:val="3"/>
            <w:tcBorders>
              <w:top w:val="single" w:sz="12" w:space="0" w:color="auto"/>
              <w:left w:val="single" w:sz="12" w:space="0" w:color="auto"/>
              <w:bottom w:val="single" w:sz="12" w:space="0" w:color="auto"/>
              <w:right w:val="single" w:sz="12" w:space="0" w:color="auto"/>
            </w:tcBorders>
          </w:tcPr>
          <w:p w:rsidR="00E26495" w:rsidRPr="00505F76" w:rsidRDefault="00E26495" w:rsidP="000B35F2">
            <w:pPr>
              <w:spacing w:before="120" w:after="120"/>
              <w:jc w:val="center"/>
              <w:rPr>
                <w:b/>
                <w:bCs/>
                <w:sz w:val="28"/>
                <w:szCs w:val="28"/>
              </w:rPr>
            </w:pPr>
            <w:r w:rsidRPr="00505F76">
              <w:rPr>
                <w:b/>
                <w:bCs/>
                <w:sz w:val="28"/>
                <w:szCs w:val="28"/>
              </w:rPr>
              <w:t>Репрезентативная выборка испытуемых</w:t>
            </w:r>
          </w:p>
        </w:tc>
      </w:tr>
      <w:tr w:rsidR="00E26495" w:rsidRPr="00505F76" w:rsidTr="000B35F2">
        <w:trPr>
          <w:jc w:val="center"/>
        </w:trPr>
        <w:tc>
          <w:tcPr>
            <w:tcW w:w="540" w:type="dxa"/>
            <w:tcBorders>
              <w:top w:val="nil"/>
              <w:left w:val="nil"/>
              <w:bottom w:val="nil"/>
              <w:right w:val="nil"/>
            </w:tcBorders>
          </w:tcPr>
          <w:p w:rsidR="00E26495" w:rsidRPr="00505F76" w:rsidRDefault="00E26495" w:rsidP="000B35F2">
            <w:pPr>
              <w:jc w:val="center"/>
              <w:rPr>
                <w:b/>
                <w:bCs/>
                <w:sz w:val="24"/>
                <w:szCs w:val="24"/>
              </w:rPr>
            </w:pPr>
          </w:p>
        </w:tc>
        <w:tc>
          <w:tcPr>
            <w:tcW w:w="2521" w:type="dxa"/>
            <w:tcBorders>
              <w:top w:val="single" w:sz="12" w:space="0" w:color="auto"/>
              <w:left w:val="nil"/>
              <w:bottom w:val="nil"/>
              <w:right w:val="nil"/>
            </w:tcBorders>
          </w:tcPr>
          <w:p w:rsidR="00E26495" w:rsidRPr="00505F76" w:rsidRDefault="00E26495" w:rsidP="000B35F2">
            <w:pPr>
              <w:ind w:left="-108" w:right="-108"/>
              <w:jc w:val="center"/>
              <w:rPr>
                <w:b/>
                <w:bCs/>
                <w:sz w:val="24"/>
                <w:szCs w:val="24"/>
              </w:rPr>
            </w:pPr>
            <w:r w:rsidRPr="00505F76">
              <w:rPr>
                <w:sz w:val="24"/>
                <w:szCs w:val="24"/>
              </w:rPr>
              <w:sym w:font="Wingdings" w:char="F0F2"/>
            </w:r>
          </w:p>
        </w:tc>
        <w:tc>
          <w:tcPr>
            <w:tcW w:w="1799" w:type="dxa"/>
            <w:tcBorders>
              <w:top w:val="single" w:sz="12" w:space="0" w:color="auto"/>
              <w:left w:val="nil"/>
              <w:bottom w:val="nil"/>
              <w:right w:val="nil"/>
            </w:tcBorders>
          </w:tcPr>
          <w:p w:rsidR="00E26495" w:rsidRPr="00505F76" w:rsidRDefault="00E26495" w:rsidP="000B35F2">
            <w:pPr>
              <w:jc w:val="center"/>
              <w:rPr>
                <w:b/>
                <w:bCs/>
                <w:sz w:val="24"/>
                <w:szCs w:val="24"/>
              </w:rPr>
            </w:pPr>
          </w:p>
        </w:tc>
        <w:tc>
          <w:tcPr>
            <w:tcW w:w="2881" w:type="dxa"/>
            <w:tcBorders>
              <w:top w:val="single" w:sz="12" w:space="0" w:color="auto"/>
              <w:left w:val="nil"/>
              <w:bottom w:val="nil"/>
              <w:right w:val="nil"/>
            </w:tcBorders>
          </w:tcPr>
          <w:p w:rsidR="00E26495" w:rsidRPr="00505F76" w:rsidRDefault="00E26495" w:rsidP="000B35F2">
            <w:pPr>
              <w:jc w:val="center"/>
              <w:rPr>
                <w:b/>
                <w:bCs/>
                <w:sz w:val="24"/>
                <w:szCs w:val="24"/>
              </w:rPr>
            </w:pPr>
            <w:r w:rsidRPr="00505F76">
              <w:rPr>
                <w:sz w:val="24"/>
                <w:szCs w:val="24"/>
              </w:rPr>
              <w:sym w:font="Wingdings" w:char="F0F2"/>
            </w:r>
          </w:p>
        </w:tc>
      </w:tr>
      <w:tr w:rsidR="00E26495" w:rsidRPr="00505F76" w:rsidTr="000B35F2">
        <w:trPr>
          <w:jc w:val="center"/>
        </w:trPr>
        <w:tc>
          <w:tcPr>
            <w:tcW w:w="540" w:type="dxa"/>
            <w:tcBorders>
              <w:top w:val="nil"/>
              <w:left w:val="nil"/>
              <w:bottom w:val="nil"/>
              <w:right w:val="nil"/>
            </w:tcBorders>
          </w:tcPr>
          <w:p w:rsidR="00E26495" w:rsidRPr="00505F76" w:rsidRDefault="00E26495" w:rsidP="000B35F2">
            <w:pPr>
              <w:jc w:val="center"/>
              <w:rPr>
                <w:b/>
                <w:bCs/>
                <w:sz w:val="24"/>
                <w:szCs w:val="24"/>
              </w:rPr>
            </w:pPr>
          </w:p>
        </w:tc>
        <w:tc>
          <w:tcPr>
            <w:tcW w:w="2521" w:type="dxa"/>
            <w:tcBorders>
              <w:top w:val="nil"/>
              <w:left w:val="nil"/>
              <w:bottom w:val="single" w:sz="12" w:space="0" w:color="auto"/>
              <w:right w:val="nil"/>
            </w:tcBorders>
          </w:tcPr>
          <w:p w:rsidR="00E26495" w:rsidRPr="00505F76" w:rsidRDefault="00E26495" w:rsidP="000B35F2">
            <w:pPr>
              <w:ind w:left="-108" w:right="-108"/>
              <w:jc w:val="center"/>
              <w:rPr>
                <w:b/>
                <w:bCs/>
                <w:sz w:val="24"/>
                <w:szCs w:val="24"/>
              </w:rPr>
            </w:pPr>
            <w:r w:rsidRPr="00505F76">
              <w:rPr>
                <w:b/>
                <w:bCs/>
                <w:sz w:val="24"/>
                <w:szCs w:val="24"/>
              </w:rPr>
              <w:t>Экспериментальная</w:t>
            </w:r>
          </w:p>
          <w:p w:rsidR="00E26495" w:rsidRPr="00505F76" w:rsidRDefault="00E26495" w:rsidP="000B35F2">
            <w:pPr>
              <w:ind w:left="-108" w:right="-108"/>
              <w:jc w:val="center"/>
              <w:rPr>
                <w:b/>
                <w:bCs/>
                <w:sz w:val="24"/>
                <w:szCs w:val="24"/>
              </w:rPr>
            </w:pPr>
            <w:r w:rsidRPr="00505F76">
              <w:rPr>
                <w:b/>
                <w:bCs/>
                <w:sz w:val="24"/>
                <w:szCs w:val="24"/>
              </w:rPr>
              <w:t>Группа</w:t>
            </w:r>
          </w:p>
        </w:tc>
        <w:tc>
          <w:tcPr>
            <w:tcW w:w="1799" w:type="dxa"/>
            <w:tcBorders>
              <w:top w:val="nil"/>
              <w:left w:val="nil"/>
              <w:bottom w:val="nil"/>
              <w:right w:val="nil"/>
            </w:tcBorders>
            <w:shd w:val="clear" w:color="auto" w:fill="auto"/>
            <w:vAlign w:val="center"/>
          </w:tcPr>
          <w:p w:rsidR="00E26495" w:rsidRPr="00505F76" w:rsidRDefault="00E26495" w:rsidP="000B35F2">
            <w:pPr>
              <w:ind w:left="113" w:right="113"/>
              <w:jc w:val="center"/>
              <w:rPr>
                <w:b/>
                <w:bCs/>
                <w:sz w:val="24"/>
                <w:szCs w:val="24"/>
              </w:rPr>
            </w:pPr>
          </w:p>
        </w:tc>
        <w:tc>
          <w:tcPr>
            <w:tcW w:w="2881" w:type="dxa"/>
            <w:tcBorders>
              <w:top w:val="nil"/>
              <w:left w:val="nil"/>
              <w:bottom w:val="single" w:sz="12" w:space="0" w:color="auto"/>
              <w:right w:val="nil"/>
            </w:tcBorders>
          </w:tcPr>
          <w:p w:rsidR="00E26495" w:rsidRPr="00505F76" w:rsidRDefault="00E26495" w:rsidP="000B35F2">
            <w:pPr>
              <w:jc w:val="center"/>
              <w:rPr>
                <w:b/>
                <w:bCs/>
                <w:sz w:val="24"/>
                <w:szCs w:val="24"/>
              </w:rPr>
            </w:pPr>
            <w:r w:rsidRPr="00505F76">
              <w:rPr>
                <w:b/>
                <w:bCs/>
                <w:sz w:val="24"/>
                <w:szCs w:val="24"/>
              </w:rPr>
              <w:t>Контрольная</w:t>
            </w:r>
          </w:p>
          <w:p w:rsidR="00E26495" w:rsidRPr="00505F76" w:rsidRDefault="00E26495" w:rsidP="000B35F2">
            <w:pPr>
              <w:jc w:val="center"/>
              <w:rPr>
                <w:b/>
                <w:bCs/>
                <w:sz w:val="24"/>
                <w:szCs w:val="24"/>
              </w:rPr>
            </w:pPr>
            <w:r w:rsidRPr="00505F76">
              <w:rPr>
                <w:b/>
                <w:bCs/>
                <w:sz w:val="24"/>
                <w:szCs w:val="24"/>
              </w:rPr>
              <w:t>группа</w:t>
            </w:r>
          </w:p>
        </w:tc>
      </w:tr>
      <w:tr w:rsidR="00E26495" w:rsidRPr="00505F76" w:rsidTr="000B35F2">
        <w:trPr>
          <w:cantSplit/>
          <w:trHeight w:val="802"/>
          <w:jc w:val="center"/>
        </w:trPr>
        <w:tc>
          <w:tcPr>
            <w:tcW w:w="540" w:type="dxa"/>
            <w:vMerge w:val="restart"/>
            <w:tcBorders>
              <w:top w:val="nil"/>
              <w:left w:val="nil"/>
              <w:bottom w:val="nil"/>
              <w:right w:val="single" w:sz="12" w:space="0" w:color="auto"/>
            </w:tcBorders>
            <w:textDirection w:val="btLr"/>
            <w:vAlign w:val="center"/>
          </w:tcPr>
          <w:p w:rsidR="00E26495" w:rsidRPr="00505F76" w:rsidRDefault="00E26495" w:rsidP="000B35F2">
            <w:pPr>
              <w:ind w:left="113" w:right="113"/>
              <w:jc w:val="center"/>
              <w:rPr>
                <w:sz w:val="24"/>
                <w:szCs w:val="24"/>
              </w:rPr>
            </w:pPr>
            <w:r w:rsidRPr="00505F76">
              <w:rPr>
                <w:sz w:val="24"/>
                <w:szCs w:val="24"/>
              </w:rPr>
              <w:t>2) наличие достоверных различий</w:t>
            </w:r>
          </w:p>
        </w:tc>
        <w:tc>
          <w:tcPr>
            <w:tcW w:w="2521" w:type="dxa"/>
            <w:tcBorders>
              <w:top w:val="single" w:sz="12" w:space="0" w:color="auto"/>
              <w:left w:val="single" w:sz="12" w:space="0" w:color="auto"/>
              <w:bottom w:val="single" w:sz="12" w:space="0" w:color="auto"/>
              <w:right w:val="single" w:sz="12" w:space="0" w:color="auto"/>
            </w:tcBorders>
            <w:vAlign w:val="center"/>
          </w:tcPr>
          <w:p w:rsidR="00E26495" w:rsidRPr="00505F76" w:rsidRDefault="00E26495" w:rsidP="000B35F2">
            <w:pPr>
              <w:jc w:val="center"/>
              <w:rPr>
                <w:sz w:val="24"/>
                <w:szCs w:val="24"/>
              </w:rPr>
            </w:pPr>
            <w:r w:rsidRPr="00505F76">
              <w:rPr>
                <w:sz w:val="24"/>
                <w:szCs w:val="24"/>
              </w:rPr>
              <w:t>До начала</w:t>
            </w:r>
          </w:p>
          <w:p w:rsidR="00E26495" w:rsidRPr="00505F76" w:rsidRDefault="00E26495" w:rsidP="000B35F2">
            <w:pPr>
              <w:jc w:val="center"/>
              <w:rPr>
                <w:sz w:val="24"/>
                <w:szCs w:val="24"/>
              </w:rPr>
            </w:pPr>
            <w:r w:rsidRPr="00505F76">
              <w:rPr>
                <w:sz w:val="24"/>
                <w:szCs w:val="24"/>
              </w:rPr>
              <w:t>Эксперимента</w:t>
            </w:r>
          </w:p>
        </w:tc>
        <w:tc>
          <w:tcPr>
            <w:tcW w:w="1799" w:type="dxa"/>
            <w:tcBorders>
              <w:top w:val="nil"/>
              <w:left w:val="single" w:sz="12" w:space="0" w:color="auto"/>
              <w:bottom w:val="nil"/>
              <w:right w:val="single" w:sz="12" w:space="0" w:color="auto"/>
            </w:tcBorders>
            <w:shd w:val="clear" w:color="auto" w:fill="auto"/>
            <w:vAlign w:val="center"/>
          </w:tcPr>
          <w:p w:rsidR="00E26495" w:rsidRPr="00505F76" w:rsidRDefault="00E26495" w:rsidP="000B35F2">
            <w:pPr>
              <w:jc w:val="center"/>
              <w:rPr>
                <w:sz w:val="24"/>
                <w:szCs w:val="24"/>
              </w:rPr>
            </w:pPr>
            <w:r w:rsidRPr="00505F76">
              <w:rPr>
                <w:sz w:val="24"/>
                <w:szCs w:val="24"/>
              </w:rPr>
              <w:t>1) отсутствие достоверных различий</w:t>
            </w:r>
          </w:p>
        </w:tc>
        <w:tc>
          <w:tcPr>
            <w:tcW w:w="2881" w:type="dxa"/>
            <w:tcBorders>
              <w:top w:val="single" w:sz="12" w:space="0" w:color="auto"/>
              <w:left w:val="single" w:sz="12" w:space="0" w:color="auto"/>
              <w:bottom w:val="single" w:sz="12" w:space="0" w:color="auto"/>
              <w:right w:val="single" w:sz="12" w:space="0" w:color="auto"/>
            </w:tcBorders>
            <w:vAlign w:val="center"/>
          </w:tcPr>
          <w:p w:rsidR="00E26495" w:rsidRPr="00505F76" w:rsidRDefault="00E26495" w:rsidP="000B35F2">
            <w:pPr>
              <w:jc w:val="center"/>
              <w:rPr>
                <w:sz w:val="24"/>
                <w:szCs w:val="24"/>
              </w:rPr>
            </w:pPr>
            <w:r w:rsidRPr="00505F76">
              <w:rPr>
                <w:sz w:val="24"/>
                <w:szCs w:val="24"/>
              </w:rPr>
              <w:t>До начала</w:t>
            </w:r>
          </w:p>
          <w:p w:rsidR="00E26495" w:rsidRPr="00505F76" w:rsidRDefault="00E26495" w:rsidP="000B35F2">
            <w:pPr>
              <w:jc w:val="center"/>
              <w:rPr>
                <w:sz w:val="24"/>
                <w:szCs w:val="24"/>
              </w:rPr>
            </w:pPr>
            <w:r w:rsidRPr="00505F76">
              <w:rPr>
                <w:sz w:val="24"/>
                <w:szCs w:val="24"/>
              </w:rPr>
              <w:t>эксперимента</w:t>
            </w:r>
          </w:p>
        </w:tc>
      </w:tr>
      <w:tr w:rsidR="00E26495" w:rsidRPr="00505F76" w:rsidTr="009963E9">
        <w:trPr>
          <w:cantSplit/>
          <w:trHeight w:val="305"/>
          <w:jc w:val="center"/>
        </w:trPr>
        <w:tc>
          <w:tcPr>
            <w:tcW w:w="540" w:type="dxa"/>
            <w:vMerge/>
            <w:tcBorders>
              <w:left w:val="nil"/>
              <w:bottom w:val="nil"/>
              <w:right w:val="nil"/>
            </w:tcBorders>
          </w:tcPr>
          <w:p w:rsidR="00E26495" w:rsidRPr="00505F76" w:rsidRDefault="00E26495" w:rsidP="000B35F2">
            <w:pPr>
              <w:jc w:val="center"/>
              <w:rPr>
                <w:sz w:val="24"/>
                <w:szCs w:val="24"/>
              </w:rPr>
            </w:pPr>
          </w:p>
        </w:tc>
        <w:tc>
          <w:tcPr>
            <w:tcW w:w="2521" w:type="dxa"/>
            <w:tcBorders>
              <w:top w:val="single" w:sz="12" w:space="0" w:color="auto"/>
              <w:left w:val="nil"/>
              <w:bottom w:val="nil"/>
              <w:right w:val="nil"/>
            </w:tcBorders>
            <w:vAlign w:val="center"/>
          </w:tcPr>
          <w:p w:rsidR="00E26495" w:rsidRPr="00505F76" w:rsidRDefault="00E26495" w:rsidP="000B35F2">
            <w:pPr>
              <w:jc w:val="center"/>
              <w:rPr>
                <w:sz w:val="24"/>
                <w:szCs w:val="24"/>
              </w:rPr>
            </w:pPr>
            <w:r w:rsidRPr="00505F76">
              <w:rPr>
                <w:sz w:val="24"/>
                <w:szCs w:val="24"/>
              </w:rPr>
              <w:sym w:font="Wingdings" w:char="F0F2"/>
            </w:r>
          </w:p>
        </w:tc>
        <w:tc>
          <w:tcPr>
            <w:tcW w:w="1799" w:type="dxa"/>
            <w:tcBorders>
              <w:top w:val="nil"/>
              <w:left w:val="nil"/>
              <w:bottom w:val="nil"/>
              <w:right w:val="nil"/>
            </w:tcBorders>
            <w:vAlign w:val="center"/>
          </w:tcPr>
          <w:p w:rsidR="00E26495" w:rsidRPr="00505F76" w:rsidRDefault="00E26495" w:rsidP="000B35F2">
            <w:pPr>
              <w:jc w:val="center"/>
              <w:rPr>
                <w:sz w:val="24"/>
                <w:szCs w:val="24"/>
              </w:rPr>
            </w:pPr>
          </w:p>
        </w:tc>
        <w:tc>
          <w:tcPr>
            <w:tcW w:w="2881" w:type="dxa"/>
            <w:tcBorders>
              <w:top w:val="single" w:sz="12" w:space="0" w:color="auto"/>
              <w:left w:val="nil"/>
              <w:bottom w:val="nil"/>
              <w:right w:val="nil"/>
            </w:tcBorders>
            <w:vAlign w:val="center"/>
          </w:tcPr>
          <w:p w:rsidR="00E26495" w:rsidRPr="00505F76" w:rsidRDefault="00E26495" w:rsidP="000B35F2">
            <w:pPr>
              <w:jc w:val="center"/>
              <w:rPr>
                <w:sz w:val="24"/>
                <w:szCs w:val="24"/>
              </w:rPr>
            </w:pPr>
            <w:r w:rsidRPr="00505F76">
              <w:rPr>
                <w:sz w:val="24"/>
                <w:szCs w:val="24"/>
              </w:rPr>
              <w:sym w:font="Wingdings" w:char="F0F2"/>
            </w:r>
          </w:p>
        </w:tc>
      </w:tr>
      <w:tr w:rsidR="00E26495" w:rsidRPr="00505F76" w:rsidTr="009963E9">
        <w:trPr>
          <w:cantSplit/>
          <w:trHeight w:val="996"/>
          <w:jc w:val="center"/>
        </w:trPr>
        <w:tc>
          <w:tcPr>
            <w:tcW w:w="540" w:type="dxa"/>
            <w:vMerge/>
            <w:tcBorders>
              <w:left w:val="nil"/>
              <w:bottom w:val="nil"/>
              <w:right w:val="nil"/>
            </w:tcBorders>
          </w:tcPr>
          <w:p w:rsidR="00E26495" w:rsidRPr="00505F76" w:rsidRDefault="00E26495" w:rsidP="000B35F2">
            <w:pPr>
              <w:jc w:val="center"/>
              <w:rPr>
                <w:sz w:val="24"/>
                <w:szCs w:val="24"/>
              </w:rPr>
            </w:pPr>
          </w:p>
        </w:tc>
        <w:tc>
          <w:tcPr>
            <w:tcW w:w="2521" w:type="dxa"/>
            <w:tcBorders>
              <w:top w:val="nil"/>
              <w:left w:val="nil"/>
              <w:bottom w:val="nil"/>
              <w:right w:val="nil"/>
            </w:tcBorders>
            <w:vAlign w:val="center"/>
          </w:tcPr>
          <w:p w:rsidR="00E26495" w:rsidRPr="00505F76" w:rsidRDefault="00E26495" w:rsidP="000B35F2">
            <w:pPr>
              <w:jc w:val="center"/>
              <w:rPr>
                <w:sz w:val="24"/>
                <w:szCs w:val="24"/>
              </w:rPr>
            </w:pPr>
            <w:r w:rsidRPr="00505F76">
              <w:rPr>
                <w:sz w:val="24"/>
                <w:szCs w:val="24"/>
              </w:rPr>
              <w:t>Выполнение работы по новой методике</w:t>
            </w:r>
          </w:p>
        </w:tc>
        <w:tc>
          <w:tcPr>
            <w:tcW w:w="1799" w:type="dxa"/>
            <w:tcBorders>
              <w:top w:val="nil"/>
              <w:left w:val="nil"/>
              <w:bottom w:val="nil"/>
              <w:right w:val="nil"/>
            </w:tcBorders>
            <w:vAlign w:val="center"/>
          </w:tcPr>
          <w:p w:rsidR="00E26495" w:rsidRPr="00505F76" w:rsidRDefault="00E26495" w:rsidP="000B35F2">
            <w:pPr>
              <w:jc w:val="center"/>
              <w:rPr>
                <w:sz w:val="24"/>
                <w:szCs w:val="24"/>
              </w:rPr>
            </w:pPr>
          </w:p>
        </w:tc>
        <w:tc>
          <w:tcPr>
            <w:tcW w:w="2881" w:type="dxa"/>
            <w:tcBorders>
              <w:top w:val="nil"/>
              <w:left w:val="nil"/>
              <w:bottom w:val="nil"/>
              <w:right w:val="nil"/>
            </w:tcBorders>
            <w:vAlign w:val="center"/>
          </w:tcPr>
          <w:p w:rsidR="00E26495" w:rsidRPr="00505F76" w:rsidRDefault="00E26495" w:rsidP="000B35F2">
            <w:pPr>
              <w:jc w:val="center"/>
              <w:rPr>
                <w:sz w:val="24"/>
                <w:szCs w:val="24"/>
              </w:rPr>
            </w:pPr>
            <w:r w:rsidRPr="00505F76">
              <w:rPr>
                <w:sz w:val="24"/>
                <w:szCs w:val="24"/>
              </w:rPr>
              <w:t>Выполнение работы по типичной методике или отсутствие воздействия</w:t>
            </w:r>
          </w:p>
        </w:tc>
      </w:tr>
      <w:tr w:rsidR="00E26495" w:rsidRPr="00505F76" w:rsidTr="000B35F2">
        <w:trPr>
          <w:cantSplit/>
          <w:trHeight w:val="599"/>
          <w:jc w:val="center"/>
        </w:trPr>
        <w:tc>
          <w:tcPr>
            <w:tcW w:w="540" w:type="dxa"/>
            <w:vMerge/>
            <w:tcBorders>
              <w:left w:val="nil"/>
              <w:bottom w:val="nil"/>
              <w:right w:val="nil"/>
            </w:tcBorders>
          </w:tcPr>
          <w:p w:rsidR="00E26495" w:rsidRPr="00505F76" w:rsidRDefault="00E26495" w:rsidP="000B35F2">
            <w:pPr>
              <w:jc w:val="center"/>
              <w:rPr>
                <w:sz w:val="24"/>
                <w:szCs w:val="24"/>
              </w:rPr>
            </w:pPr>
          </w:p>
        </w:tc>
        <w:tc>
          <w:tcPr>
            <w:tcW w:w="2521" w:type="dxa"/>
            <w:tcBorders>
              <w:top w:val="nil"/>
              <w:left w:val="nil"/>
              <w:bottom w:val="single" w:sz="12" w:space="0" w:color="auto"/>
              <w:right w:val="nil"/>
            </w:tcBorders>
            <w:vAlign w:val="center"/>
          </w:tcPr>
          <w:p w:rsidR="00E26495" w:rsidRPr="00505F76" w:rsidRDefault="00E26495" w:rsidP="000B35F2">
            <w:pPr>
              <w:jc w:val="center"/>
              <w:rPr>
                <w:sz w:val="24"/>
                <w:szCs w:val="24"/>
              </w:rPr>
            </w:pPr>
            <w:r w:rsidRPr="00505F76">
              <w:rPr>
                <w:sz w:val="24"/>
                <w:szCs w:val="24"/>
              </w:rPr>
              <w:sym w:font="Wingdings" w:char="F0F2"/>
            </w:r>
          </w:p>
        </w:tc>
        <w:tc>
          <w:tcPr>
            <w:tcW w:w="1799" w:type="dxa"/>
            <w:tcBorders>
              <w:top w:val="nil"/>
              <w:left w:val="nil"/>
              <w:bottom w:val="nil"/>
              <w:right w:val="nil"/>
            </w:tcBorders>
            <w:vAlign w:val="center"/>
          </w:tcPr>
          <w:p w:rsidR="00E26495" w:rsidRPr="00505F76" w:rsidRDefault="00E26495" w:rsidP="000B35F2">
            <w:pPr>
              <w:jc w:val="center"/>
              <w:rPr>
                <w:sz w:val="24"/>
                <w:szCs w:val="24"/>
              </w:rPr>
            </w:pPr>
          </w:p>
        </w:tc>
        <w:tc>
          <w:tcPr>
            <w:tcW w:w="2881" w:type="dxa"/>
            <w:tcBorders>
              <w:top w:val="nil"/>
              <w:left w:val="nil"/>
              <w:bottom w:val="single" w:sz="12" w:space="0" w:color="auto"/>
              <w:right w:val="nil"/>
            </w:tcBorders>
            <w:vAlign w:val="center"/>
          </w:tcPr>
          <w:p w:rsidR="00E26495" w:rsidRPr="00505F76" w:rsidRDefault="00E26495" w:rsidP="000B35F2">
            <w:pPr>
              <w:jc w:val="center"/>
              <w:rPr>
                <w:sz w:val="24"/>
                <w:szCs w:val="24"/>
              </w:rPr>
            </w:pPr>
            <w:r w:rsidRPr="00505F76">
              <w:rPr>
                <w:sz w:val="24"/>
                <w:szCs w:val="24"/>
              </w:rPr>
              <w:sym w:font="Wingdings" w:char="F0F2"/>
            </w:r>
          </w:p>
        </w:tc>
      </w:tr>
      <w:tr w:rsidR="00E26495" w:rsidRPr="00505F76" w:rsidTr="000B35F2">
        <w:trPr>
          <w:cantSplit/>
          <w:trHeight w:val="988"/>
          <w:jc w:val="center"/>
        </w:trPr>
        <w:tc>
          <w:tcPr>
            <w:tcW w:w="540" w:type="dxa"/>
            <w:vMerge/>
            <w:tcBorders>
              <w:left w:val="nil"/>
              <w:bottom w:val="nil"/>
              <w:right w:val="single" w:sz="12" w:space="0" w:color="auto"/>
            </w:tcBorders>
          </w:tcPr>
          <w:p w:rsidR="00E26495" w:rsidRPr="00505F76" w:rsidRDefault="00E26495" w:rsidP="000B35F2">
            <w:pPr>
              <w:jc w:val="both"/>
              <w:rPr>
                <w:sz w:val="28"/>
                <w:szCs w:val="28"/>
              </w:rPr>
            </w:pPr>
          </w:p>
        </w:tc>
        <w:tc>
          <w:tcPr>
            <w:tcW w:w="2521" w:type="dxa"/>
            <w:tcBorders>
              <w:top w:val="single" w:sz="12" w:space="0" w:color="auto"/>
              <w:left w:val="single" w:sz="12" w:space="0" w:color="auto"/>
              <w:bottom w:val="single" w:sz="12" w:space="0" w:color="auto"/>
              <w:right w:val="single" w:sz="12" w:space="0" w:color="auto"/>
            </w:tcBorders>
            <w:vAlign w:val="center"/>
          </w:tcPr>
          <w:p w:rsidR="00E26495" w:rsidRPr="00F92CA3" w:rsidRDefault="00E26495" w:rsidP="000B35F2">
            <w:pPr>
              <w:jc w:val="center"/>
              <w:rPr>
                <w:sz w:val="24"/>
                <w:szCs w:val="24"/>
              </w:rPr>
            </w:pPr>
            <w:r w:rsidRPr="00F92CA3">
              <w:rPr>
                <w:sz w:val="24"/>
                <w:szCs w:val="24"/>
              </w:rPr>
              <w:t>После завершения эксперимента</w:t>
            </w:r>
          </w:p>
        </w:tc>
        <w:tc>
          <w:tcPr>
            <w:tcW w:w="1799" w:type="dxa"/>
            <w:tcBorders>
              <w:top w:val="nil"/>
              <w:left w:val="single" w:sz="12" w:space="0" w:color="auto"/>
              <w:bottom w:val="nil"/>
              <w:right w:val="single" w:sz="12" w:space="0" w:color="auto"/>
            </w:tcBorders>
            <w:vAlign w:val="center"/>
          </w:tcPr>
          <w:p w:rsidR="00E26495" w:rsidRPr="00F92CA3" w:rsidRDefault="00E26495" w:rsidP="000B35F2">
            <w:pPr>
              <w:jc w:val="center"/>
              <w:rPr>
                <w:sz w:val="24"/>
                <w:szCs w:val="24"/>
              </w:rPr>
            </w:pPr>
            <w:r w:rsidRPr="00F92CA3">
              <w:rPr>
                <w:sz w:val="24"/>
                <w:szCs w:val="24"/>
              </w:rPr>
              <w:t>3) наличие</w:t>
            </w:r>
          </w:p>
          <w:p w:rsidR="00E26495" w:rsidRPr="00F92CA3" w:rsidRDefault="00E26495" w:rsidP="000B35F2">
            <w:pPr>
              <w:jc w:val="center"/>
              <w:rPr>
                <w:sz w:val="24"/>
                <w:szCs w:val="24"/>
              </w:rPr>
            </w:pPr>
            <w:r w:rsidRPr="00F92CA3">
              <w:rPr>
                <w:sz w:val="24"/>
                <w:szCs w:val="24"/>
              </w:rPr>
              <w:t>достоверных различий</w:t>
            </w:r>
          </w:p>
        </w:tc>
        <w:tc>
          <w:tcPr>
            <w:tcW w:w="2881" w:type="dxa"/>
            <w:tcBorders>
              <w:top w:val="single" w:sz="12" w:space="0" w:color="auto"/>
              <w:left w:val="single" w:sz="12" w:space="0" w:color="auto"/>
              <w:bottom w:val="single" w:sz="12" w:space="0" w:color="auto"/>
              <w:right w:val="single" w:sz="12" w:space="0" w:color="auto"/>
            </w:tcBorders>
            <w:vAlign w:val="center"/>
          </w:tcPr>
          <w:p w:rsidR="00E26495" w:rsidRPr="00F92CA3" w:rsidRDefault="00E26495" w:rsidP="000B35F2">
            <w:pPr>
              <w:jc w:val="center"/>
              <w:rPr>
                <w:sz w:val="24"/>
                <w:szCs w:val="24"/>
              </w:rPr>
            </w:pPr>
            <w:r w:rsidRPr="00F92CA3">
              <w:rPr>
                <w:sz w:val="24"/>
                <w:szCs w:val="24"/>
              </w:rPr>
              <w:t>После завершения</w:t>
            </w:r>
          </w:p>
          <w:p w:rsidR="00E26495" w:rsidRPr="00F92CA3" w:rsidRDefault="00E26495" w:rsidP="000B35F2">
            <w:pPr>
              <w:jc w:val="center"/>
              <w:rPr>
                <w:sz w:val="24"/>
                <w:szCs w:val="24"/>
              </w:rPr>
            </w:pPr>
            <w:r w:rsidRPr="00F92CA3">
              <w:rPr>
                <w:sz w:val="24"/>
                <w:szCs w:val="24"/>
              </w:rPr>
              <w:t>эксперимента</w:t>
            </w:r>
          </w:p>
        </w:tc>
      </w:tr>
    </w:tbl>
    <w:p w:rsidR="00E26495" w:rsidRPr="00505F76" w:rsidRDefault="00E26495" w:rsidP="00E26495">
      <w:pPr>
        <w:jc w:val="both"/>
        <w:rPr>
          <w:sz w:val="28"/>
          <w:szCs w:val="28"/>
        </w:rPr>
      </w:pPr>
    </w:p>
    <w:p w:rsidR="00E26495" w:rsidRPr="00924EA5" w:rsidRDefault="00E26495" w:rsidP="00E26495">
      <w:pPr>
        <w:pStyle w:val="2"/>
        <w:spacing w:line="240" w:lineRule="auto"/>
        <w:ind w:firstLine="709"/>
        <w:jc w:val="center"/>
        <w:rPr>
          <w:sz w:val="28"/>
          <w:szCs w:val="28"/>
        </w:rPr>
      </w:pPr>
      <w:r w:rsidRPr="00505F76">
        <w:rPr>
          <w:sz w:val="28"/>
          <w:szCs w:val="28"/>
        </w:rPr>
        <w:t>Схема формирующего психолого-педагогического эксперимента для оценки эффективности новой методики обучения</w:t>
      </w:r>
    </w:p>
    <w:p w:rsidR="00E26495" w:rsidRPr="00924EA5" w:rsidRDefault="00E26495" w:rsidP="00E26495">
      <w:pPr>
        <w:pStyle w:val="2"/>
        <w:spacing w:after="0" w:line="240" w:lineRule="auto"/>
        <w:ind w:firstLine="709"/>
        <w:jc w:val="center"/>
        <w:rPr>
          <w:sz w:val="28"/>
          <w:szCs w:val="28"/>
        </w:rPr>
      </w:pPr>
    </w:p>
    <w:p w:rsidR="00E26495" w:rsidRPr="00505F76" w:rsidRDefault="00E26495" w:rsidP="00E26495">
      <w:pPr>
        <w:pStyle w:val="2"/>
        <w:spacing w:after="0" w:line="240" w:lineRule="auto"/>
        <w:ind w:firstLine="709"/>
        <w:jc w:val="both"/>
        <w:rPr>
          <w:sz w:val="28"/>
          <w:szCs w:val="28"/>
        </w:rPr>
      </w:pPr>
      <w:r w:rsidRPr="00505F76">
        <w:rPr>
          <w:sz w:val="28"/>
          <w:szCs w:val="28"/>
        </w:rPr>
        <w:t xml:space="preserve">В предложенном варианте исследования конкретные эмпирические данные могут быть получены с помощью наблюдения, опроса, тестирования и т.д., а сам эксперимент выступает скорее формой организации, чем эмпирическим методом. Наряду с оценкой достоверности различий могут использоваться и другие методы, например, факторный или дисперсионный анализ для оценки степени влияния новой методики на полученный результат, выделение отдельных факторов влияния и т.д. Аналогичную ситуацию мы наблюдаем и в других видах эксперимента, используемых в научных исследованиях: констатирующем, формирующем, модельном и т.д. </w:t>
      </w:r>
    </w:p>
    <w:p w:rsidR="00E26495" w:rsidRPr="00505F76" w:rsidRDefault="00E26495" w:rsidP="00E26495">
      <w:pPr>
        <w:pStyle w:val="2"/>
        <w:spacing w:after="0" w:line="240" w:lineRule="auto"/>
        <w:ind w:firstLine="709"/>
        <w:jc w:val="both"/>
        <w:rPr>
          <w:sz w:val="28"/>
          <w:szCs w:val="28"/>
        </w:rPr>
      </w:pPr>
      <w:r w:rsidRPr="00505F76">
        <w:rPr>
          <w:sz w:val="28"/>
          <w:szCs w:val="28"/>
        </w:rPr>
        <w:t>Способность эксперимента выступать в роли и организационного, и эмпирического метода исследования является наглядной демонстрацией целостности научного исследования, когда все действия экспериментатора упорядочены и логично взаимосвязаны в рамках единой модели. К сожалению, во многих научных работах по спортивной психологии рассмотренные особенности эксперимента не учитываются, что снижает качество описания методологии проведенного исследования.</w:t>
      </w:r>
    </w:p>
    <w:p w:rsidR="00E26495" w:rsidRPr="00505F76" w:rsidRDefault="00E26495" w:rsidP="00E26495">
      <w:pPr>
        <w:pStyle w:val="2"/>
        <w:spacing w:after="0" w:line="240" w:lineRule="auto"/>
        <w:ind w:firstLine="709"/>
        <w:jc w:val="both"/>
        <w:rPr>
          <w:sz w:val="28"/>
          <w:szCs w:val="28"/>
        </w:rPr>
      </w:pPr>
      <w:r w:rsidRPr="00505F76">
        <w:rPr>
          <w:sz w:val="28"/>
          <w:szCs w:val="28"/>
        </w:rPr>
        <w:t>Еще одним примером целостности использования разных методов исследования является моделирование, которое, применительно к поведению, можно рассматривать как создание и изучение модели (упрощенного аналога), отражающего наиболее существенные действия оригинала. Моделирование поведения играет большую роль в жизни человека, и спортивная тренировка не является исключением. Тренеры, спортивные психологи и сами спортсмены уже давно применяют моделирование на практике. Весь учебно-тренировочный процесс насыщен различными моделями поведения, начиная с основ техники и заканчивая тактическими схемами ведения борьбы.</w:t>
      </w:r>
    </w:p>
    <w:p w:rsidR="00E26495" w:rsidRPr="00505F76" w:rsidRDefault="00E26495" w:rsidP="00E26495">
      <w:pPr>
        <w:pStyle w:val="2"/>
        <w:spacing w:after="0" w:line="240" w:lineRule="auto"/>
        <w:ind w:firstLine="709"/>
        <w:jc w:val="both"/>
        <w:rPr>
          <w:sz w:val="28"/>
          <w:szCs w:val="28"/>
        </w:rPr>
      </w:pPr>
      <w:r w:rsidRPr="00505F76">
        <w:rPr>
          <w:sz w:val="28"/>
          <w:szCs w:val="28"/>
        </w:rPr>
        <w:t>Проведя анализ работ специалистов по моделированию, можно констатировать, что в общем случае этот процесс состоит из следующих этапов:</w:t>
      </w:r>
    </w:p>
    <w:p w:rsidR="00E26495" w:rsidRPr="00505F76" w:rsidRDefault="00E26495" w:rsidP="00E26495">
      <w:pPr>
        <w:pStyle w:val="2"/>
        <w:spacing w:after="0" w:line="240" w:lineRule="auto"/>
        <w:ind w:firstLine="709"/>
        <w:jc w:val="both"/>
        <w:rPr>
          <w:sz w:val="28"/>
          <w:szCs w:val="28"/>
        </w:rPr>
      </w:pPr>
      <w:r w:rsidRPr="00505F76">
        <w:rPr>
          <w:sz w:val="28"/>
          <w:szCs w:val="28"/>
        </w:rPr>
        <w:t>1) постановка задачи, определение основных моментов деятельности оригинала;</w:t>
      </w:r>
    </w:p>
    <w:p w:rsidR="00E26495" w:rsidRPr="00505F76" w:rsidRDefault="00E26495" w:rsidP="00E26495">
      <w:pPr>
        <w:pStyle w:val="2"/>
        <w:spacing w:after="0" w:line="240" w:lineRule="auto"/>
        <w:ind w:firstLine="709"/>
        <w:jc w:val="both"/>
        <w:rPr>
          <w:sz w:val="28"/>
          <w:szCs w:val="28"/>
        </w:rPr>
      </w:pPr>
      <w:r w:rsidRPr="00505F76">
        <w:rPr>
          <w:sz w:val="28"/>
          <w:szCs w:val="28"/>
        </w:rPr>
        <w:t>2) выбор (создание) модели, достаточно хорошо имитирующей особенности деятельности и доступной для изучения;</w:t>
      </w:r>
    </w:p>
    <w:p w:rsidR="00E26495" w:rsidRPr="00505F76" w:rsidRDefault="00E26495" w:rsidP="00E26495">
      <w:pPr>
        <w:pStyle w:val="2"/>
        <w:spacing w:after="0" w:line="240" w:lineRule="auto"/>
        <w:ind w:firstLine="709"/>
        <w:jc w:val="both"/>
        <w:rPr>
          <w:sz w:val="28"/>
          <w:szCs w:val="28"/>
        </w:rPr>
      </w:pPr>
      <w:r w:rsidRPr="00505F76">
        <w:rPr>
          <w:sz w:val="28"/>
          <w:szCs w:val="28"/>
        </w:rPr>
        <w:t>3) исследование модели в соответствии с поставленными задачами;</w:t>
      </w:r>
    </w:p>
    <w:p w:rsidR="00E26495" w:rsidRPr="00505F76" w:rsidRDefault="00E26495" w:rsidP="00E26495">
      <w:pPr>
        <w:pStyle w:val="2"/>
        <w:spacing w:after="0" w:line="240" w:lineRule="auto"/>
        <w:ind w:firstLine="709"/>
        <w:jc w:val="both"/>
        <w:rPr>
          <w:sz w:val="28"/>
          <w:szCs w:val="28"/>
        </w:rPr>
      </w:pPr>
      <w:r w:rsidRPr="00505F76">
        <w:rPr>
          <w:sz w:val="28"/>
          <w:szCs w:val="28"/>
        </w:rPr>
        <w:t>4) перенос результатов исследования модели на оригинал.</w:t>
      </w:r>
    </w:p>
    <w:p w:rsidR="00E26495" w:rsidRPr="00505F76" w:rsidRDefault="00E26495" w:rsidP="00E26495">
      <w:pPr>
        <w:pStyle w:val="2"/>
        <w:spacing w:after="0" w:line="240" w:lineRule="auto"/>
        <w:ind w:firstLine="709"/>
        <w:jc w:val="both"/>
        <w:rPr>
          <w:sz w:val="28"/>
          <w:szCs w:val="28"/>
        </w:rPr>
      </w:pPr>
      <w:r w:rsidRPr="00505F76">
        <w:rPr>
          <w:sz w:val="28"/>
          <w:szCs w:val="28"/>
        </w:rPr>
        <w:t xml:space="preserve">В основе поведения лежит процесс принятия решения, который может проходить на двух взаимосвязанных уровнях – сенсорно-перцептивном и прогностическом. В зависимости от уровня абстрагирования, моделирование этого процесса в исследовании или тренировке может проходить в специфической и неспецифической форме (рис. 2). </w:t>
      </w:r>
    </w:p>
    <w:p w:rsidR="00E26495" w:rsidRPr="00505F76" w:rsidRDefault="00E26495" w:rsidP="00E26495">
      <w:pPr>
        <w:pStyle w:val="2"/>
        <w:spacing w:after="0" w:line="240" w:lineRule="auto"/>
        <w:ind w:firstLine="709"/>
        <w:jc w:val="both"/>
        <w:rPr>
          <w:sz w:val="28"/>
          <w:szCs w:val="28"/>
        </w:rPr>
      </w:pPr>
      <w:r w:rsidRPr="00505F76">
        <w:rPr>
          <w:sz w:val="28"/>
          <w:szCs w:val="28"/>
        </w:rPr>
        <w:t>Неспецифическая форма является наиболее обобщенной, базируется на абстрактных сигналах и универсальных способах реагирования, направлена на создание максимально упрощенной ситуации, отображающей сущность задачи. Моделирование в неспецифической форме характеризуется ориентацией не на форму, а на содержание сигнала, на особенности внутреннего механизма решения ситуации. Выделение и совершенствование этого механизма является основой тренировки и резервом повышения эффективности в любой человеческой деятельности.</w:t>
      </w:r>
    </w:p>
    <w:p w:rsidR="00E26495" w:rsidRPr="00505F76" w:rsidRDefault="00E26495" w:rsidP="00E26495">
      <w:pPr>
        <w:pStyle w:val="2"/>
        <w:spacing w:after="0" w:line="240" w:lineRule="auto"/>
        <w:ind w:firstLine="709"/>
        <w:jc w:val="both"/>
        <w:rPr>
          <w:sz w:val="28"/>
          <w:szCs w:val="28"/>
        </w:rPr>
      </w:pPr>
      <w:r w:rsidRPr="00505F76">
        <w:rPr>
          <w:sz w:val="28"/>
          <w:szCs w:val="28"/>
        </w:rPr>
        <w:t>Однако абстрактность и универсальность неспецифических ситуаций не позволяет выявлять отличительные особенности конкретной деятельности, что требует создания узкоспециализи</w:t>
      </w:r>
      <w:r w:rsidRPr="00505F76">
        <w:rPr>
          <w:sz w:val="28"/>
          <w:szCs w:val="28"/>
        </w:rPr>
        <w:softHyphen/>
        <w:t>рованных специфических методик. Наиболее эффективным считается использование и специфических, и неспецифических форм моделирования ситуации, но на разных этапах подготовки их соотношение изменяется - с повышением специализации тренировочного процесса специализируются и применяемые методики. В частности, во время совершенствования тактического мастерства спортсмена через неспецифическую форму осуществляется переход процессов принятия решения от сенсорно-перцептивного к прогностическому уровню.</w:t>
      </w:r>
    </w:p>
    <w:p w:rsidR="00E26495" w:rsidRPr="00505F76" w:rsidRDefault="00E26495" w:rsidP="00E26495">
      <w:pPr>
        <w:pStyle w:val="2"/>
        <w:spacing w:after="0" w:line="240" w:lineRule="auto"/>
        <w:ind w:firstLine="70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900"/>
        <w:gridCol w:w="360"/>
        <w:gridCol w:w="1150"/>
        <w:gridCol w:w="1028"/>
        <w:gridCol w:w="342"/>
        <w:gridCol w:w="1451"/>
        <w:gridCol w:w="757"/>
        <w:gridCol w:w="132"/>
        <w:gridCol w:w="236"/>
        <w:gridCol w:w="1082"/>
        <w:gridCol w:w="1022"/>
      </w:tblGrid>
      <w:tr w:rsidR="00E26495" w:rsidRPr="00505F76" w:rsidTr="000B35F2">
        <w:tc>
          <w:tcPr>
            <w:tcW w:w="9648" w:type="dxa"/>
            <w:gridSpan w:val="12"/>
            <w:tcBorders>
              <w:top w:val="single" w:sz="12" w:space="0" w:color="auto"/>
              <w:left w:val="single" w:sz="12" w:space="0" w:color="auto"/>
              <w:bottom w:val="single" w:sz="12" w:space="0" w:color="auto"/>
              <w:right w:val="single" w:sz="12" w:space="0" w:color="auto"/>
            </w:tcBorders>
            <w:vAlign w:val="center"/>
          </w:tcPr>
          <w:p w:rsidR="00E26495" w:rsidRPr="00505F76" w:rsidRDefault="00E26495" w:rsidP="000B35F2">
            <w:pPr>
              <w:suppressAutoHyphens/>
              <w:jc w:val="center"/>
              <w:rPr>
                <w:sz w:val="28"/>
                <w:szCs w:val="28"/>
              </w:rPr>
            </w:pPr>
            <w:r w:rsidRPr="00505F76">
              <w:rPr>
                <w:sz w:val="28"/>
                <w:szCs w:val="28"/>
              </w:rPr>
              <w:t>Моделирование ситуаций принятия решения</w:t>
            </w:r>
          </w:p>
        </w:tc>
      </w:tr>
      <w:tr w:rsidR="00E26495" w:rsidRPr="00505F76" w:rsidTr="000B35F2">
        <w:tc>
          <w:tcPr>
            <w:tcW w:w="2448" w:type="dxa"/>
            <w:gridSpan w:val="3"/>
            <w:tcBorders>
              <w:top w:val="single" w:sz="12" w:space="0" w:color="auto"/>
              <w:left w:val="nil"/>
              <w:right w:val="single" w:sz="4" w:space="0" w:color="auto"/>
            </w:tcBorders>
            <w:vAlign w:val="center"/>
          </w:tcPr>
          <w:p w:rsidR="00E26495" w:rsidRPr="00505F76" w:rsidRDefault="00E26495" w:rsidP="000B35F2">
            <w:pPr>
              <w:suppressAutoHyphens/>
              <w:jc w:val="center"/>
              <w:rPr>
                <w:sz w:val="28"/>
                <w:szCs w:val="28"/>
              </w:rPr>
            </w:pPr>
          </w:p>
        </w:tc>
        <w:tc>
          <w:tcPr>
            <w:tcW w:w="4728" w:type="dxa"/>
            <w:gridSpan w:val="5"/>
            <w:tcBorders>
              <w:top w:val="single" w:sz="12" w:space="0" w:color="auto"/>
              <w:left w:val="single" w:sz="4" w:space="0" w:color="auto"/>
              <w:bottom w:val="nil"/>
              <w:right w:val="single" w:sz="4" w:space="0" w:color="auto"/>
            </w:tcBorders>
            <w:vAlign w:val="center"/>
          </w:tcPr>
          <w:p w:rsidR="00E26495" w:rsidRPr="00505F76" w:rsidRDefault="00E26495" w:rsidP="000B35F2">
            <w:pPr>
              <w:suppressAutoHyphens/>
              <w:jc w:val="center"/>
              <w:rPr>
                <w:sz w:val="28"/>
                <w:szCs w:val="28"/>
              </w:rPr>
            </w:pPr>
          </w:p>
        </w:tc>
        <w:tc>
          <w:tcPr>
            <w:tcW w:w="2472" w:type="dxa"/>
            <w:gridSpan w:val="4"/>
            <w:tcBorders>
              <w:top w:val="single" w:sz="12" w:space="0" w:color="auto"/>
              <w:left w:val="single" w:sz="4" w:space="0" w:color="auto"/>
              <w:right w:val="nil"/>
            </w:tcBorders>
            <w:vAlign w:val="center"/>
          </w:tcPr>
          <w:p w:rsidR="00E26495" w:rsidRPr="00505F76" w:rsidRDefault="00E26495" w:rsidP="000B35F2">
            <w:pPr>
              <w:suppressAutoHyphens/>
              <w:jc w:val="center"/>
              <w:rPr>
                <w:sz w:val="28"/>
                <w:szCs w:val="28"/>
              </w:rPr>
            </w:pPr>
          </w:p>
        </w:tc>
      </w:tr>
      <w:tr w:rsidR="00E26495" w:rsidRPr="00505F76" w:rsidTr="000B35F2">
        <w:tc>
          <w:tcPr>
            <w:tcW w:w="4626" w:type="dxa"/>
            <w:gridSpan w:val="5"/>
            <w:tcBorders>
              <w:top w:val="single" w:sz="12" w:space="0" w:color="auto"/>
              <w:left w:val="single" w:sz="12" w:space="0" w:color="auto"/>
              <w:bottom w:val="single" w:sz="12" w:space="0" w:color="auto"/>
              <w:right w:val="single" w:sz="12" w:space="0" w:color="auto"/>
            </w:tcBorders>
            <w:vAlign w:val="center"/>
          </w:tcPr>
          <w:p w:rsidR="00E26495" w:rsidRPr="00505F76" w:rsidRDefault="00E26495" w:rsidP="000B35F2">
            <w:pPr>
              <w:suppressAutoHyphens/>
              <w:jc w:val="center"/>
              <w:rPr>
                <w:sz w:val="28"/>
                <w:szCs w:val="28"/>
              </w:rPr>
            </w:pPr>
            <w:r w:rsidRPr="00505F76">
              <w:rPr>
                <w:sz w:val="28"/>
                <w:szCs w:val="28"/>
              </w:rPr>
              <w:t>Сенсорно-перцептивный уровень</w:t>
            </w:r>
          </w:p>
        </w:tc>
        <w:tc>
          <w:tcPr>
            <w:tcW w:w="342" w:type="dxa"/>
            <w:tcBorders>
              <w:top w:val="nil"/>
              <w:left w:val="single" w:sz="12" w:space="0" w:color="auto"/>
              <w:bottom w:val="nil"/>
              <w:right w:val="single" w:sz="12" w:space="0" w:color="auto"/>
            </w:tcBorders>
            <w:vAlign w:val="center"/>
          </w:tcPr>
          <w:p w:rsidR="00E26495" w:rsidRPr="00505F76" w:rsidRDefault="00E26495" w:rsidP="000B35F2">
            <w:pPr>
              <w:suppressAutoHyphens/>
              <w:jc w:val="center"/>
              <w:rPr>
                <w:sz w:val="28"/>
                <w:szCs w:val="28"/>
              </w:rPr>
            </w:pPr>
          </w:p>
        </w:tc>
        <w:tc>
          <w:tcPr>
            <w:tcW w:w="4680" w:type="dxa"/>
            <w:gridSpan w:val="6"/>
            <w:tcBorders>
              <w:top w:val="single" w:sz="12" w:space="0" w:color="auto"/>
              <w:left w:val="single" w:sz="12" w:space="0" w:color="auto"/>
              <w:bottom w:val="single" w:sz="12" w:space="0" w:color="auto"/>
              <w:right w:val="single" w:sz="12" w:space="0" w:color="auto"/>
            </w:tcBorders>
            <w:vAlign w:val="center"/>
          </w:tcPr>
          <w:p w:rsidR="00E26495" w:rsidRPr="00505F76" w:rsidRDefault="00E26495" w:rsidP="000B35F2">
            <w:pPr>
              <w:suppressAutoHyphens/>
              <w:jc w:val="center"/>
              <w:rPr>
                <w:sz w:val="28"/>
                <w:szCs w:val="28"/>
              </w:rPr>
            </w:pPr>
            <w:r w:rsidRPr="00505F76">
              <w:rPr>
                <w:sz w:val="28"/>
                <w:szCs w:val="28"/>
              </w:rPr>
              <w:t>Прогностический уровень</w:t>
            </w:r>
          </w:p>
        </w:tc>
      </w:tr>
      <w:tr w:rsidR="00E26495" w:rsidRPr="00505F76" w:rsidTr="000B35F2">
        <w:tc>
          <w:tcPr>
            <w:tcW w:w="1188" w:type="dxa"/>
            <w:tcBorders>
              <w:left w:val="nil"/>
            </w:tcBorders>
            <w:vAlign w:val="center"/>
          </w:tcPr>
          <w:p w:rsidR="00E26495" w:rsidRPr="00505F76" w:rsidRDefault="00E26495" w:rsidP="000B35F2">
            <w:pPr>
              <w:suppressAutoHyphens/>
              <w:jc w:val="center"/>
              <w:rPr>
                <w:sz w:val="28"/>
                <w:szCs w:val="28"/>
              </w:rPr>
            </w:pPr>
          </w:p>
        </w:tc>
        <w:tc>
          <w:tcPr>
            <w:tcW w:w="2410" w:type="dxa"/>
            <w:gridSpan w:val="3"/>
            <w:tcBorders>
              <w:bottom w:val="nil"/>
              <w:right w:val="single" w:sz="4" w:space="0" w:color="auto"/>
            </w:tcBorders>
            <w:vAlign w:val="center"/>
          </w:tcPr>
          <w:p w:rsidR="00E26495" w:rsidRPr="00505F76" w:rsidRDefault="00E26495" w:rsidP="000B35F2">
            <w:pPr>
              <w:suppressAutoHyphens/>
              <w:jc w:val="center"/>
              <w:rPr>
                <w:sz w:val="28"/>
                <w:szCs w:val="28"/>
              </w:rPr>
            </w:pPr>
          </w:p>
        </w:tc>
        <w:tc>
          <w:tcPr>
            <w:tcW w:w="2821" w:type="dxa"/>
            <w:gridSpan w:val="3"/>
            <w:tcBorders>
              <w:top w:val="nil"/>
              <w:left w:val="single" w:sz="4" w:space="0" w:color="auto"/>
              <w:bottom w:val="nil"/>
              <w:right w:val="single" w:sz="4" w:space="0" w:color="auto"/>
            </w:tcBorders>
            <w:vAlign w:val="center"/>
          </w:tcPr>
          <w:p w:rsidR="00E26495" w:rsidRPr="00505F76" w:rsidRDefault="00E26495" w:rsidP="000B35F2">
            <w:pPr>
              <w:suppressAutoHyphens/>
              <w:jc w:val="center"/>
              <w:rPr>
                <w:sz w:val="28"/>
                <w:szCs w:val="28"/>
              </w:rPr>
            </w:pPr>
          </w:p>
        </w:tc>
        <w:tc>
          <w:tcPr>
            <w:tcW w:w="2207" w:type="dxa"/>
            <w:gridSpan w:val="4"/>
            <w:tcBorders>
              <w:left w:val="single" w:sz="4" w:space="0" w:color="auto"/>
              <w:bottom w:val="nil"/>
            </w:tcBorders>
            <w:vAlign w:val="center"/>
          </w:tcPr>
          <w:p w:rsidR="00E26495" w:rsidRPr="00505F76" w:rsidRDefault="00E26495" w:rsidP="000B35F2">
            <w:pPr>
              <w:suppressAutoHyphens/>
              <w:jc w:val="center"/>
              <w:rPr>
                <w:sz w:val="28"/>
                <w:szCs w:val="28"/>
              </w:rPr>
            </w:pPr>
          </w:p>
        </w:tc>
        <w:tc>
          <w:tcPr>
            <w:tcW w:w="1022" w:type="dxa"/>
            <w:tcBorders>
              <w:right w:val="nil"/>
            </w:tcBorders>
            <w:vAlign w:val="center"/>
          </w:tcPr>
          <w:p w:rsidR="00E26495" w:rsidRPr="00505F76" w:rsidRDefault="00E26495" w:rsidP="000B35F2">
            <w:pPr>
              <w:suppressAutoHyphens/>
              <w:jc w:val="center"/>
              <w:rPr>
                <w:sz w:val="28"/>
                <w:szCs w:val="28"/>
              </w:rPr>
            </w:pPr>
          </w:p>
        </w:tc>
      </w:tr>
      <w:tr w:rsidR="00E26495" w:rsidRPr="00505F76" w:rsidTr="000B35F2">
        <w:tc>
          <w:tcPr>
            <w:tcW w:w="2088" w:type="dxa"/>
            <w:gridSpan w:val="2"/>
            <w:tcBorders>
              <w:top w:val="single" w:sz="12" w:space="0" w:color="auto"/>
              <w:left w:val="single" w:sz="12" w:space="0" w:color="auto"/>
              <w:bottom w:val="single" w:sz="4" w:space="0" w:color="auto"/>
              <w:right w:val="single" w:sz="12" w:space="0" w:color="auto"/>
            </w:tcBorders>
            <w:vAlign w:val="center"/>
          </w:tcPr>
          <w:p w:rsidR="00E26495" w:rsidRPr="00505F76" w:rsidRDefault="00E26495" w:rsidP="000B35F2">
            <w:pPr>
              <w:suppressAutoHyphens/>
              <w:jc w:val="center"/>
              <w:rPr>
                <w:b/>
                <w:sz w:val="24"/>
                <w:szCs w:val="24"/>
              </w:rPr>
            </w:pPr>
            <w:r w:rsidRPr="00505F76">
              <w:rPr>
                <w:b/>
                <w:sz w:val="24"/>
                <w:szCs w:val="24"/>
              </w:rPr>
              <w:t>Специфическая форма</w:t>
            </w:r>
          </w:p>
        </w:tc>
        <w:tc>
          <w:tcPr>
            <w:tcW w:w="360" w:type="dxa"/>
            <w:tcBorders>
              <w:top w:val="nil"/>
              <w:left w:val="single" w:sz="12" w:space="0" w:color="auto"/>
              <w:bottom w:val="nil"/>
              <w:right w:val="single" w:sz="12" w:space="0" w:color="auto"/>
            </w:tcBorders>
            <w:vAlign w:val="center"/>
          </w:tcPr>
          <w:p w:rsidR="00E26495" w:rsidRPr="00505F76" w:rsidRDefault="00E26495" w:rsidP="000B35F2">
            <w:pPr>
              <w:suppressAutoHyphens/>
              <w:jc w:val="center"/>
              <w:rPr>
                <w:b/>
                <w:sz w:val="24"/>
                <w:szCs w:val="24"/>
              </w:rPr>
            </w:pPr>
          </w:p>
        </w:tc>
        <w:tc>
          <w:tcPr>
            <w:tcW w:w="2178" w:type="dxa"/>
            <w:gridSpan w:val="2"/>
            <w:tcBorders>
              <w:top w:val="single" w:sz="12" w:space="0" w:color="auto"/>
              <w:left w:val="single" w:sz="12" w:space="0" w:color="auto"/>
              <w:bottom w:val="single" w:sz="4" w:space="0" w:color="auto"/>
              <w:right w:val="single" w:sz="12" w:space="0" w:color="auto"/>
            </w:tcBorders>
            <w:vAlign w:val="center"/>
          </w:tcPr>
          <w:p w:rsidR="00E26495" w:rsidRPr="00505F76" w:rsidRDefault="00E26495" w:rsidP="000B35F2">
            <w:pPr>
              <w:suppressAutoHyphens/>
              <w:jc w:val="center"/>
              <w:rPr>
                <w:b/>
                <w:sz w:val="24"/>
                <w:szCs w:val="24"/>
              </w:rPr>
            </w:pPr>
            <w:r w:rsidRPr="00505F76">
              <w:rPr>
                <w:b/>
                <w:sz w:val="24"/>
                <w:szCs w:val="24"/>
              </w:rPr>
              <w:t>Неспецифическая форма</w:t>
            </w:r>
          </w:p>
        </w:tc>
        <w:tc>
          <w:tcPr>
            <w:tcW w:w="342" w:type="dxa"/>
            <w:tcBorders>
              <w:top w:val="nil"/>
              <w:left w:val="single" w:sz="12" w:space="0" w:color="auto"/>
              <w:bottom w:val="nil"/>
              <w:right w:val="single" w:sz="12" w:space="0" w:color="auto"/>
            </w:tcBorders>
            <w:vAlign w:val="center"/>
          </w:tcPr>
          <w:p w:rsidR="00E26495" w:rsidRPr="00505F76" w:rsidRDefault="00E26495" w:rsidP="000B35F2">
            <w:pPr>
              <w:suppressAutoHyphens/>
              <w:jc w:val="center"/>
              <w:rPr>
                <w:b/>
                <w:sz w:val="24"/>
                <w:szCs w:val="24"/>
              </w:rPr>
            </w:pPr>
          </w:p>
        </w:tc>
        <w:tc>
          <w:tcPr>
            <w:tcW w:w="2340" w:type="dxa"/>
            <w:gridSpan w:val="3"/>
            <w:tcBorders>
              <w:top w:val="single" w:sz="12" w:space="0" w:color="auto"/>
              <w:left w:val="single" w:sz="12" w:space="0" w:color="auto"/>
              <w:bottom w:val="single" w:sz="4" w:space="0" w:color="auto"/>
              <w:right w:val="single" w:sz="12" w:space="0" w:color="auto"/>
            </w:tcBorders>
            <w:vAlign w:val="center"/>
          </w:tcPr>
          <w:p w:rsidR="00E26495" w:rsidRPr="00505F76" w:rsidRDefault="00E26495" w:rsidP="000B35F2">
            <w:pPr>
              <w:suppressAutoHyphens/>
              <w:jc w:val="center"/>
              <w:rPr>
                <w:b/>
                <w:sz w:val="24"/>
                <w:szCs w:val="24"/>
              </w:rPr>
            </w:pPr>
            <w:r w:rsidRPr="00505F76">
              <w:rPr>
                <w:b/>
                <w:sz w:val="24"/>
                <w:szCs w:val="24"/>
              </w:rPr>
              <w:t>Неспецифическая форма</w:t>
            </w:r>
          </w:p>
        </w:tc>
        <w:tc>
          <w:tcPr>
            <w:tcW w:w="236" w:type="dxa"/>
            <w:tcBorders>
              <w:top w:val="nil"/>
              <w:left w:val="single" w:sz="12" w:space="0" w:color="auto"/>
              <w:bottom w:val="nil"/>
              <w:right w:val="single" w:sz="12" w:space="0" w:color="auto"/>
            </w:tcBorders>
            <w:vAlign w:val="center"/>
          </w:tcPr>
          <w:p w:rsidR="00E26495" w:rsidRPr="00505F76" w:rsidRDefault="00E26495" w:rsidP="000B35F2">
            <w:pPr>
              <w:suppressAutoHyphens/>
              <w:jc w:val="center"/>
              <w:rPr>
                <w:b/>
                <w:sz w:val="24"/>
                <w:szCs w:val="24"/>
              </w:rPr>
            </w:pPr>
          </w:p>
        </w:tc>
        <w:tc>
          <w:tcPr>
            <w:tcW w:w="2104" w:type="dxa"/>
            <w:gridSpan w:val="2"/>
            <w:tcBorders>
              <w:top w:val="single" w:sz="12" w:space="0" w:color="auto"/>
              <w:left w:val="single" w:sz="12" w:space="0" w:color="auto"/>
              <w:bottom w:val="single" w:sz="4" w:space="0" w:color="auto"/>
              <w:right w:val="single" w:sz="12" w:space="0" w:color="auto"/>
            </w:tcBorders>
            <w:vAlign w:val="center"/>
          </w:tcPr>
          <w:p w:rsidR="00E26495" w:rsidRPr="00505F76" w:rsidRDefault="00E26495" w:rsidP="000B35F2">
            <w:pPr>
              <w:suppressAutoHyphens/>
              <w:jc w:val="center"/>
              <w:rPr>
                <w:b/>
                <w:sz w:val="24"/>
                <w:szCs w:val="24"/>
              </w:rPr>
            </w:pPr>
            <w:r w:rsidRPr="00505F76">
              <w:rPr>
                <w:b/>
                <w:sz w:val="24"/>
                <w:szCs w:val="24"/>
              </w:rPr>
              <w:t>Специфическая форма</w:t>
            </w:r>
          </w:p>
        </w:tc>
      </w:tr>
      <w:tr w:rsidR="00E26495" w:rsidRPr="00505F76" w:rsidTr="000B35F2">
        <w:trPr>
          <w:trHeight w:val="1369"/>
        </w:trPr>
        <w:tc>
          <w:tcPr>
            <w:tcW w:w="2088" w:type="dxa"/>
            <w:gridSpan w:val="2"/>
            <w:tcBorders>
              <w:top w:val="single" w:sz="4" w:space="0" w:color="auto"/>
              <w:left w:val="single" w:sz="12" w:space="0" w:color="auto"/>
              <w:bottom w:val="single" w:sz="12" w:space="0" w:color="auto"/>
              <w:right w:val="single" w:sz="12" w:space="0" w:color="auto"/>
            </w:tcBorders>
            <w:vAlign w:val="center"/>
          </w:tcPr>
          <w:p w:rsidR="00E26495" w:rsidRPr="00505F76" w:rsidRDefault="00E26495" w:rsidP="000B35F2">
            <w:pPr>
              <w:suppressAutoHyphens/>
              <w:jc w:val="center"/>
              <w:rPr>
                <w:sz w:val="28"/>
                <w:szCs w:val="28"/>
              </w:rPr>
            </w:pPr>
            <w:r w:rsidRPr="00505F76">
              <w:rPr>
                <w:sz w:val="28"/>
                <w:szCs w:val="28"/>
              </w:rPr>
              <w:t>Тренажеры, мишени, манекены</w:t>
            </w:r>
          </w:p>
        </w:tc>
        <w:tc>
          <w:tcPr>
            <w:tcW w:w="360" w:type="dxa"/>
            <w:tcBorders>
              <w:top w:val="nil"/>
              <w:left w:val="single" w:sz="12" w:space="0" w:color="auto"/>
              <w:bottom w:val="nil"/>
              <w:right w:val="single" w:sz="12" w:space="0" w:color="auto"/>
            </w:tcBorders>
            <w:vAlign w:val="center"/>
          </w:tcPr>
          <w:p w:rsidR="00E26495" w:rsidRPr="00505F76" w:rsidRDefault="00E26495" w:rsidP="000B35F2">
            <w:pPr>
              <w:suppressAutoHyphens/>
              <w:jc w:val="center"/>
              <w:rPr>
                <w:sz w:val="28"/>
                <w:szCs w:val="28"/>
              </w:rPr>
            </w:pPr>
          </w:p>
        </w:tc>
        <w:tc>
          <w:tcPr>
            <w:tcW w:w="2178" w:type="dxa"/>
            <w:gridSpan w:val="2"/>
            <w:tcBorders>
              <w:left w:val="single" w:sz="12" w:space="0" w:color="auto"/>
              <w:bottom w:val="single" w:sz="12" w:space="0" w:color="auto"/>
              <w:right w:val="single" w:sz="12" w:space="0" w:color="auto"/>
            </w:tcBorders>
            <w:vAlign w:val="center"/>
          </w:tcPr>
          <w:p w:rsidR="00E26495" w:rsidRPr="00505F76" w:rsidRDefault="00E26495" w:rsidP="000B35F2">
            <w:pPr>
              <w:suppressAutoHyphens/>
              <w:jc w:val="center"/>
              <w:rPr>
                <w:sz w:val="28"/>
                <w:szCs w:val="28"/>
              </w:rPr>
            </w:pPr>
            <w:r w:rsidRPr="00505F76">
              <w:rPr>
                <w:sz w:val="28"/>
                <w:szCs w:val="28"/>
              </w:rPr>
              <w:t>Сенсомоторные реагирования на абстрактный сигнал</w:t>
            </w:r>
          </w:p>
        </w:tc>
        <w:tc>
          <w:tcPr>
            <w:tcW w:w="342" w:type="dxa"/>
            <w:tcBorders>
              <w:top w:val="nil"/>
              <w:left w:val="single" w:sz="12" w:space="0" w:color="auto"/>
              <w:bottom w:val="nil"/>
              <w:right w:val="single" w:sz="12" w:space="0" w:color="auto"/>
            </w:tcBorders>
            <w:vAlign w:val="center"/>
          </w:tcPr>
          <w:p w:rsidR="00E26495" w:rsidRPr="00505F76" w:rsidRDefault="00E26495" w:rsidP="000B35F2">
            <w:pPr>
              <w:suppressAutoHyphens/>
              <w:jc w:val="center"/>
              <w:rPr>
                <w:sz w:val="28"/>
                <w:szCs w:val="28"/>
              </w:rPr>
            </w:pPr>
          </w:p>
        </w:tc>
        <w:tc>
          <w:tcPr>
            <w:tcW w:w="2340" w:type="dxa"/>
            <w:gridSpan w:val="3"/>
            <w:tcBorders>
              <w:left w:val="single" w:sz="12" w:space="0" w:color="auto"/>
              <w:bottom w:val="single" w:sz="12" w:space="0" w:color="auto"/>
              <w:right w:val="single" w:sz="12" w:space="0" w:color="auto"/>
            </w:tcBorders>
            <w:vAlign w:val="center"/>
          </w:tcPr>
          <w:p w:rsidR="00E26495" w:rsidRPr="00505F76" w:rsidRDefault="00E26495" w:rsidP="000B35F2">
            <w:pPr>
              <w:suppressAutoHyphens/>
              <w:jc w:val="center"/>
              <w:rPr>
                <w:sz w:val="28"/>
                <w:szCs w:val="28"/>
              </w:rPr>
            </w:pPr>
            <w:r w:rsidRPr="00505F76">
              <w:rPr>
                <w:sz w:val="28"/>
                <w:szCs w:val="28"/>
              </w:rPr>
              <w:t>Логические задачи, вероятностный прогноз, рефлексивные игры</w:t>
            </w:r>
          </w:p>
        </w:tc>
        <w:tc>
          <w:tcPr>
            <w:tcW w:w="236" w:type="dxa"/>
            <w:tcBorders>
              <w:top w:val="nil"/>
              <w:left w:val="single" w:sz="12" w:space="0" w:color="auto"/>
              <w:bottom w:val="nil"/>
              <w:right w:val="single" w:sz="12" w:space="0" w:color="auto"/>
            </w:tcBorders>
            <w:vAlign w:val="center"/>
          </w:tcPr>
          <w:p w:rsidR="00E26495" w:rsidRPr="00505F76" w:rsidRDefault="00E26495" w:rsidP="000B35F2">
            <w:pPr>
              <w:suppressAutoHyphens/>
              <w:jc w:val="center"/>
              <w:rPr>
                <w:sz w:val="28"/>
                <w:szCs w:val="28"/>
              </w:rPr>
            </w:pPr>
          </w:p>
        </w:tc>
        <w:tc>
          <w:tcPr>
            <w:tcW w:w="2104" w:type="dxa"/>
            <w:gridSpan w:val="2"/>
            <w:tcBorders>
              <w:left w:val="single" w:sz="12" w:space="0" w:color="auto"/>
              <w:bottom w:val="single" w:sz="12" w:space="0" w:color="auto"/>
              <w:right w:val="single" w:sz="12" w:space="0" w:color="auto"/>
            </w:tcBorders>
            <w:vAlign w:val="center"/>
          </w:tcPr>
          <w:p w:rsidR="00E26495" w:rsidRPr="00505F76" w:rsidRDefault="00E26495" w:rsidP="000B35F2">
            <w:pPr>
              <w:suppressAutoHyphens/>
              <w:jc w:val="center"/>
              <w:rPr>
                <w:sz w:val="28"/>
                <w:szCs w:val="28"/>
              </w:rPr>
            </w:pPr>
            <w:r w:rsidRPr="00505F76">
              <w:rPr>
                <w:sz w:val="28"/>
                <w:szCs w:val="28"/>
              </w:rPr>
              <w:t>Прогнозирование событий на базе опыта и анализа текущей ситуации</w:t>
            </w:r>
          </w:p>
        </w:tc>
      </w:tr>
    </w:tbl>
    <w:p w:rsidR="00E26495" w:rsidRPr="00505F76" w:rsidRDefault="00E26495" w:rsidP="00E26495">
      <w:pPr>
        <w:suppressAutoHyphens/>
        <w:spacing w:before="120"/>
        <w:ind w:left="1616" w:right="210" w:hanging="958"/>
        <w:jc w:val="both"/>
        <w:rPr>
          <w:sz w:val="28"/>
          <w:szCs w:val="28"/>
        </w:rPr>
      </w:pPr>
      <w:r w:rsidRPr="00505F76">
        <w:rPr>
          <w:sz w:val="28"/>
          <w:szCs w:val="28"/>
        </w:rPr>
        <w:t>Специфическая и неспецифическая формы моделирования ситуаций принятия решения в спортивной деятельности</w:t>
      </w:r>
    </w:p>
    <w:p w:rsidR="00E26495" w:rsidRPr="00505F76" w:rsidRDefault="00E26495" w:rsidP="00E26495">
      <w:pPr>
        <w:pStyle w:val="2"/>
        <w:spacing w:line="240" w:lineRule="auto"/>
        <w:ind w:firstLine="709"/>
        <w:jc w:val="both"/>
        <w:rPr>
          <w:sz w:val="28"/>
          <w:szCs w:val="28"/>
        </w:rPr>
      </w:pPr>
    </w:p>
    <w:p w:rsidR="00E26495" w:rsidRPr="00505F76" w:rsidRDefault="00E26495" w:rsidP="00E26495">
      <w:pPr>
        <w:pStyle w:val="2"/>
        <w:spacing w:after="0" w:line="240" w:lineRule="auto"/>
        <w:ind w:firstLine="709"/>
        <w:jc w:val="both"/>
        <w:rPr>
          <w:sz w:val="28"/>
          <w:szCs w:val="28"/>
        </w:rPr>
      </w:pPr>
      <w:r w:rsidRPr="00505F76">
        <w:rPr>
          <w:sz w:val="28"/>
          <w:szCs w:val="28"/>
        </w:rPr>
        <w:t>Специфическое моделирование ситуаций принятия решения на сенсорно-перцептивном уровне отличает стремление к максимальному сходству с реальностью, учет и реализация в модели как можно большего количества факторов, составляющих соревновательную ситуацию. При этом используются различные макеты, способные выполнять определенные действия, имитирующие поведение реального соперника. Главной задачей таких макетов является неожиданное для спортсмена изменение ситуации, требующее принятия решения в экстремальных условиях. Возможности моделирования на этом уровне детерминируются технической сложностью используемых устройств, которая, в свою очередь, обусловлена потребностью в таком устройстве на разных этапах подготовки.</w:t>
      </w:r>
    </w:p>
    <w:p w:rsidR="00E26495" w:rsidRPr="00505F76" w:rsidRDefault="00E26495" w:rsidP="00E26495">
      <w:pPr>
        <w:pStyle w:val="2"/>
        <w:spacing w:after="0" w:line="240" w:lineRule="auto"/>
        <w:ind w:firstLine="709"/>
        <w:jc w:val="both"/>
        <w:rPr>
          <w:sz w:val="28"/>
          <w:szCs w:val="28"/>
        </w:rPr>
      </w:pPr>
      <w:r w:rsidRPr="00505F76">
        <w:rPr>
          <w:sz w:val="28"/>
          <w:szCs w:val="28"/>
        </w:rPr>
        <w:t>Для исследования принятия решения на сенсорно-перцептивном уровне с помощью неспецифического моделирования ситуаций создаются ситуации простого и сложного реагирования, перцептивной и рецепторной антиципации. В зависимости от исследуемого или совершенствуемого качества используются различные способы предъявления сигнала. В процессе моделирования следует учитывать основные особенности моделируемой деятельности: например, появление или изменение объекта, равномерное или ускоренное движение, последовательное или дискретное предъявление и т.п.</w:t>
      </w:r>
    </w:p>
    <w:p w:rsidR="00E26495" w:rsidRPr="00505F76" w:rsidRDefault="00E26495" w:rsidP="00E26495">
      <w:pPr>
        <w:pStyle w:val="2"/>
        <w:spacing w:after="0" w:line="240" w:lineRule="auto"/>
        <w:ind w:firstLine="709"/>
        <w:jc w:val="both"/>
        <w:rPr>
          <w:sz w:val="28"/>
          <w:szCs w:val="28"/>
        </w:rPr>
      </w:pPr>
      <w:r w:rsidRPr="00505F76">
        <w:rPr>
          <w:sz w:val="28"/>
          <w:szCs w:val="28"/>
        </w:rPr>
        <w:t>Для неспецифического моделирования ситуаций принятия решения на прогностическом уровне успешно применяются различные логические задачи (головоломки), шахматные миниатюры, игры на внимание, память и т.п. Многие из них стали основой для диагностических и развивающих методик, успешно применяемых как в спорте, так и в других видах деятельности.</w:t>
      </w:r>
    </w:p>
    <w:p w:rsidR="00E26495" w:rsidRPr="00505F76" w:rsidRDefault="00E26495" w:rsidP="00E26495">
      <w:pPr>
        <w:pStyle w:val="2"/>
        <w:spacing w:after="0" w:line="240" w:lineRule="auto"/>
        <w:ind w:firstLine="709"/>
        <w:jc w:val="both"/>
        <w:rPr>
          <w:sz w:val="28"/>
          <w:szCs w:val="28"/>
        </w:rPr>
      </w:pPr>
      <w:r w:rsidRPr="00505F76">
        <w:rPr>
          <w:sz w:val="28"/>
          <w:szCs w:val="28"/>
        </w:rPr>
        <w:t>Специфическое моделирование ситуаций принятия решения на прогностическом уровне проявляется в анализе соревновательных ситуаций при помощи моделей, которое проводится во многих видах спорта. Наибольшее распространение получили различные тактические схемы в спортивных играх. Простота и наглядность таких моделей, их активное использование в учебно-методической литературе привели исследователей к созданию ряда методик диагностики и совершенствования тактического мастерства, базирующихся на моделях соревновательных ситуаций. При этом используется разнообразный информационный материал - от фотоснимков эпизодов игры до макетов игрового поля с комбинацией лампочек. В дальнейшем может осуществляться перенос моделей в учебно-тренировочную и соревновательную деятельность.</w:t>
      </w:r>
    </w:p>
    <w:p w:rsidR="00E26495" w:rsidRPr="00505F76" w:rsidRDefault="00E26495" w:rsidP="00E26495">
      <w:pPr>
        <w:pStyle w:val="2"/>
        <w:spacing w:after="0" w:line="240" w:lineRule="auto"/>
        <w:ind w:firstLine="709"/>
        <w:jc w:val="both"/>
        <w:rPr>
          <w:sz w:val="28"/>
          <w:szCs w:val="28"/>
        </w:rPr>
      </w:pPr>
      <w:r w:rsidRPr="00505F76">
        <w:rPr>
          <w:sz w:val="28"/>
          <w:szCs w:val="28"/>
        </w:rPr>
        <w:t xml:space="preserve">Примером различных форм моделирования являются модификации методики изучения </w:t>
      </w:r>
      <w:proofErr w:type="spellStart"/>
      <w:r w:rsidRPr="00505F76">
        <w:rPr>
          <w:sz w:val="28"/>
          <w:szCs w:val="28"/>
        </w:rPr>
        <w:t>проприоцептивных</w:t>
      </w:r>
      <w:proofErr w:type="spellEnd"/>
      <w:r w:rsidRPr="00505F76">
        <w:rPr>
          <w:sz w:val="28"/>
          <w:szCs w:val="28"/>
        </w:rPr>
        <w:t xml:space="preserve"> функций с помощью </w:t>
      </w:r>
      <w:proofErr w:type="spellStart"/>
      <w:r w:rsidRPr="00505F76">
        <w:rPr>
          <w:sz w:val="28"/>
          <w:szCs w:val="28"/>
        </w:rPr>
        <w:t>кинематометраМ.И.Жуковского</w:t>
      </w:r>
      <w:proofErr w:type="spellEnd"/>
      <w:r w:rsidRPr="00505F76">
        <w:rPr>
          <w:sz w:val="28"/>
          <w:szCs w:val="28"/>
        </w:rPr>
        <w:t xml:space="preserve">. В зависимости от изучаемого качества можно разработать систему заданий, которая будет учитывать специфику соревновательной деятельности. В диссертационном исследовании и последующих работах </w:t>
      </w:r>
      <w:r w:rsidRPr="00505F76">
        <w:rPr>
          <w:sz w:val="28"/>
          <w:szCs w:val="28"/>
          <w:lang w:val="en-US"/>
        </w:rPr>
        <w:t>A</w:t>
      </w:r>
      <w:r w:rsidRPr="00505F76">
        <w:rPr>
          <w:sz w:val="28"/>
          <w:szCs w:val="28"/>
        </w:rPr>
        <w:t>.</w:t>
      </w:r>
      <w:proofErr w:type="spellStart"/>
      <w:r w:rsidRPr="00505F76">
        <w:rPr>
          <w:sz w:val="28"/>
          <w:szCs w:val="28"/>
          <w:lang w:val="en-US"/>
        </w:rPr>
        <w:t>Bahrami</w:t>
      </w:r>
      <w:proofErr w:type="spellEnd"/>
      <w:r w:rsidRPr="00505F76">
        <w:rPr>
          <w:sz w:val="28"/>
          <w:szCs w:val="28"/>
        </w:rPr>
        <w:t xml:space="preserve"> такая система была разработана для баскетболистов, выполняющих штрафной бросок [10]. Методика </w:t>
      </w:r>
      <w:proofErr w:type="spellStart"/>
      <w:r w:rsidRPr="00505F76">
        <w:rPr>
          <w:sz w:val="28"/>
          <w:szCs w:val="28"/>
        </w:rPr>
        <w:t>Жуковского-Бахрами</w:t>
      </w:r>
      <w:proofErr w:type="spellEnd"/>
      <w:r w:rsidRPr="00505F76">
        <w:rPr>
          <w:sz w:val="28"/>
          <w:szCs w:val="28"/>
        </w:rPr>
        <w:t xml:space="preserve"> широко используется тренерами Исламской Республики Иран и является моделированием принятия решения в специфической форме на сенсорно-перцептивном уровне. В компьютерных </w:t>
      </w:r>
      <w:proofErr w:type="spellStart"/>
      <w:r w:rsidRPr="00505F76">
        <w:rPr>
          <w:sz w:val="28"/>
          <w:szCs w:val="28"/>
        </w:rPr>
        <w:t>тест-тренажерах</w:t>
      </w:r>
      <w:proofErr w:type="spellEnd"/>
      <w:r w:rsidRPr="00505F76">
        <w:rPr>
          <w:sz w:val="28"/>
          <w:szCs w:val="28"/>
        </w:rPr>
        <w:t xml:space="preserve"> «КРИС» (</w:t>
      </w:r>
      <w:proofErr w:type="spellStart"/>
      <w:r w:rsidRPr="00505F76">
        <w:rPr>
          <w:sz w:val="28"/>
          <w:szCs w:val="28"/>
        </w:rPr>
        <w:t>В.Г.Сивицкий</w:t>
      </w:r>
      <w:proofErr w:type="spellEnd"/>
      <w:r w:rsidRPr="00505F76">
        <w:rPr>
          <w:sz w:val="28"/>
          <w:szCs w:val="28"/>
        </w:rPr>
        <w:t xml:space="preserve">, </w:t>
      </w:r>
      <w:proofErr w:type="spellStart"/>
      <w:r w:rsidRPr="00505F76">
        <w:rPr>
          <w:sz w:val="28"/>
          <w:szCs w:val="28"/>
        </w:rPr>
        <w:t>Е.С.Загузов</w:t>
      </w:r>
      <w:proofErr w:type="spellEnd"/>
      <w:r w:rsidRPr="00505F76">
        <w:rPr>
          <w:sz w:val="28"/>
          <w:szCs w:val="28"/>
        </w:rPr>
        <w:t>, 2009) и «МОНИТ» (</w:t>
      </w:r>
      <w:proofErr w:type="spellStart"/>
      <w:r w:rsidRPr="00505F76">
        <w:rPr>
          <w:sz w:val="28"/>
          <w:szCs w:val="28"/>
        </w:rPr>
        <w:t>В.Г.Сивицкий</w:t>
      </w:r>
      <w:proofErr w:type="spellEnd"/>
      <w:r w:rsidRPr="00505F76">
        <w:rPr>
          <w:sz w:val="28"/>
          <w:szCs w:val="28"/>
        </w:rPr>
        <w:t>, 2011) предложена модификация методики в неспецифической форме для комплексной оценки психологической подготовленности спортсменов.</w:t>
      </w:r>
    </w:p>
    <w:p w:rsidR="00E26495" w:rsidRPr="00505F76" w:rsidRDefault="00E26495" w:rsidP="00E26495">
      <w:pPr>
        <w:pStyle w:val="2"/>
        <w:spacing w:after="0" w:line="240" w:lineRule="auto"/>
        <w:ind w:firstLine="709"/>
        <w:jc w:val="both"/>
        <w:rPr>
          <w:sz w:val="28"/>
          <w:szCs w:val="28"/>
        </w:rPr>
      </w:pPr>
      <w:r w:rsidRPr="00505F76">
        <w:rPr>
          <w:sz w:val="28"/>
          <w:szCs w:val="28"/>
        </w:rPr>
        <w:t>Таким образом, моделирование является универсальным методом как для изучения особенностей принятия решения, так и для развития актуальных качеств, позволяя создать неограниченное количество диагностических и учебных ситуаций.</w:t>
      </w:r>
    </w:p>
    <w:p w:rsidR="00E26495" w:rsidRPr="00505F76" w:rsidRDefault="00E26495" w:rsidP="00E26495">
      <w:pPr>
        <w:pStyle w:val="2"/>
        <w:spacing w:after="0" w:line="240" w:lineRule="auto"/>
        <w:ind w:firstLine="709"/>
        <w:jc w:val="both"/>
        <w:rPr>
          <w:sz w:val="28"/>
          <w:szCs w:val="28"/>
        </w:rPr>
      </w:pPr>
      <w:r w:rsidRPr="00505F76">
        <w:rPr>
          <w:sz w:val="28"/>
          <w:szCs w:val="28"/>
        </w:rPr>
        <w:t>Предложенный анализ методологических аспектов в исследовании по спортивной психологии является примером методологического поиска, который должен проводится в любом диссертационном исследовании. Наука – это живой организм, который динамично развивается вместе с обществом и научно-техническим прогрессом, поэтому творчество молодых ученых должно не только положительно оцениваться, но и активно стимулироваться.</w:t>
      </w:r>
    </w:p>
    <w:p w:rsidR="00E26495" w:rsidRDefault="00E26495" w:rsidP="00E26495">
      <w:pPr>
        <w:spacing w:after="200" w:line="276" w:lineRule="auto"/>
        <w:rPr>
          <w:color w:val="000000"/>
          <w:sz w:val="28"/>
          <w:szCs w:val="28"/>
        </w:rPr>
      </w:pPr>
      <w:r>
        <w:rPr>
          <w:sz w:val="28"/>
          <w:szCs w:val="28"/>
        </w:rPr>
        <w:br w:type="page"/>
      </w:r>
    </w:p>
    <w:p w:rsidR="00E26495" w:rsidRDefault="00E26495" w:rsidP="00E26495">
      <w:pPr>
        <w:pStyle w:val="text"/>
        <w:ind w:right="-104"/>
        <w:jc w:val="center"/>
        <w:rPr>
          <w:sz w:val="28"/>
          <w:szCs w:val="28"/>
        </w:rPr>
      </w:pPr>
      <w:r>
        <w:rPr>
          <w:sz w:val="28"/>
          <w:szCs w:val="28"/>
        </w:rPr>
        <w:t xml:space="preserve">38.2 </w:t>
      </w:r>
      <w:r w:rsidRPr="00924EA5">
        <w:rPr>
          <w:sz w:val="28"/>
          <w:szCs w:val="28"/>
        </w:rPr>
        <w:t xml:space="preserve">ПРОБЛЕМЫ КОНСТРУИРОВАНИЯ ЛИЧНОСТНЫХ ОПРОСНИКОВ </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При разработке заданий для личностных опросников необходимо учитывать следующие проблемы, которые, если их не обойти, неизбежно приведут к низкой </w:t>
      </w:r>
      <w:proofErr w:type="spellStart"/>
      <w:r w:rsidRPr="00CC2F41">
        <w:rPr>
          <w:sz w:val="28"/>
          <w:szCs w:val="28"/>
        </w:rPr>
        <w:t>валидности</w:t>
      </w:r>
      <w:proofErr w:type="spellEnd"/>
      <w:r w:rsidRPr="00CC2F41">
        <w:rPr>
          <w:sz w:val="28"/>
          <w:szCs w:val="28"/>
        </w:rPr>
        <w:t xml:space="preserve"> тестов. </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lang w:val="en-US"/>
        </w:rPr>
        <w:t xml:space="preserve">(1) </w:t>
      </w:r>
      <w:r w:rsidRPr="00CC2F41">
        <w:rPr>
          <w:i/>
          <w:iCs/>
          <w:sz w:val="28"/>
          <w:szCs w:val="28"/>
        </w:rPr>
        <w:t>Установканасогласие</w:t>
      </w:r>
      <w:r w:rsidRPr="00CC2F41">
        <w:rPr>
          <w:i/>
          <w:iCs/>
          <w:sz w:val="28"/>
          <w:szCs w:val="28"/>
          <w:lang w:val="en-US"/>
        </w:rPr>
        <w:t xml:space="preserve"> (response set of acquiescence).</w:t>
      </w:r>
      <w:r w:rsidRPr="00CC2F41">
        <w:rPr>
          <w:sz w:val="28"/>
          <w:szCs w:val="28"/>
        </w:rPr>
        <w:t xml:space="preserve">Это тенденция испытуемого соглашаться с утверждениями или отвечать на вопросы "да" независимо от их содержания. </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(2) </w:t>
      </w:r>
      <w:r w:rsidRPr="00CC2F41">
        <w:rPr>
          <w:i/>
          <w:iCs/>
          <w:sz w:val="28"/>
          <w:szCs w:val="28"/>
        </w:rPr>
        <w:t>Установка на социально одобряемые ответы (</w:t>
      </w:r>
      <w:proofErr w:type="spellStart"/>
      <w:r w:rsidRPr="00CC2F41">
        <w:rPr>
          <w:i/>
          <w:iCs/>
          <w:sz w:val="28"/>
          <w:szCs w:val="28"/>
        </w:rPr>
        <w:t>responsesetofsocialdesirability</w:t>
      </w:r>
      <w:proofErr w:type="spellEnd"/>
      <w:r w:rsidRPr="00CC2F41">
        <w:rPr>
          <w:i/>
          <w:iCs/>
          <w:sz w:val="28"/>
          <w:szCs w:val="28"/>
        </w:rPr>
        <w:t>).</w:t>
      </w:r>
      <w:r w:rsidRPr="00CC2F41">
        <w:rPr>
          <w:sz w:val="28"/>
          <w:szCs w:val="28"/>
        </w:rPr>
        <w:t xml:space="preserve"> Это тенденция испытуемых отвечать на вопросы теста так, чтобы выглядеть "социально положительным": если возможен "социально желательный" ответ, то весьма вероятно, что испытуемые будут его давать.</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lang w:val="en-US"/>
        </w:rPr>
        <w:t xml:space="preserve">(3) </w:t>
      </w:r>
      <w:r w:rsidRPr="00CC2F41">
        <w:rPr>
          <w:i/>
          <w:iCs/>
          <w:sz w:val="28"/>
          <w:szCs w:val="28"/>
        </w:rPr>
        <w:t>Установкананеопределенныеилисредниеответы</w:t>
      </w:r>
      <w:r w:rsidRPr="00CC2F41">
        <w:rPr>
          <w:i/>
          <w:iCs/>
          <w:sz w:val="28"/>
          <w:szCs w:val="28"/>
          <w:lang w:val="en-US"/>
        </w:rPr>
        <w:t xml:space="preserve"> (response set of using the uncertain or middle category).</w:t>
      </w:r>
      <w:r w:rsidRPr="00CC2F41">
        <w:rPr>
          <w:sz w:val="28"/>
          <w:szCs w:val="28"/>
        </w:rPr>
        <w:t xml:space="preserve">Если в опроснике представлена средняя категория ответов, отражающая нерешительность или неуверенность в ответе (напр., "не уверен", "не знаю", или "затрудняюсь ответить"), то многие испытуемые склонны к ней прибегать, как к безопасному компромиссу. Это приводит к снижению </w:t>
      </w:r>
      <w:proofErr w:type="spellStart"/>
      <w:r w:rsidRPr="00CC2F41">
        <w:rPr>
          <w:sz w:val="28"/>
          <w:szCs w:val="28"/>
        </w:rPr>
        <w:t>валидности</w:t>
      </w:r>
      <w:proofErr w:type="spellEnd"/>
      <w:r w:rsidRPr="00CC2F41">
        <w:rPr>
          <w:sz w:val="28"/>
          <w:szCs w:val="28"/>
        </w:rPr>
        <w:t xml:space="preserve"> заданий, поскольку большинство методов анализа вопросов основывается на крайних значениях показателей. </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(4) </w:t>
      </w:r>
      <w:r w:rsidRPr="00CC2F41">
        <w:rPr>
          <w:i/>
          <w:iCs/>
          <w:sz w:val="28"/>
          <w:szCs w:val="28"/>
        </w:rPr>
        <w:t>Установка на "крайние" (расположенные по краям шкалы) ответы (</w:t>
      </w:r>
      <w:proofErr w:type="spellStart"/>
      <w:r w:rsidRPr="00CC2F41">
        <w:rPr>
          <w:i/>
          <w:iCs/>
          <w:sz w:val="28"/>
          <w:szCs w:val="28"/>
        </w:rPr>
        <w:t>responsesetofusingtheextremeresponse</w:t>
      </w:r>
      <w:proofErr w:type="spellEnd"/>
      <w:r w:rsidRPr="00CC2F41">
        <w:rPr>
          <w:i/>
          <w:iCs/>
          <w:sz w:val="28"/>
          <w:szCs w:val="28"/>
        </w:rPr>
        <w:t>).</w:t>
      </w:r>
      <w:r w:rsidRPr="00CC2F41">
        <w:rPr>
          <w:sz w:val="28"/>
          <w:szCs w:val="28"/>
        </w:rPr>
        <w:t xml:space="preserve"> Эта установка может проявляться при использовании многоэлементной рейтинговой шкалы. </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(5) </w:t>
      </w:r>
      <w:r w:rsidRPr="00CC2F41">
        <w:rPr>
          <w:i/>
          <w:iCs/>
          <w:sz w:val="28"/>
          <w:szCs w:val="28"/>
        </w:rPr>
        <w:t xml:space="preserve">Очевидная </w:t>
      </w:r>
      <w:proofErr w:type="spellStart"/>
      <w:r w:rsidRPr="00CC2F41">
        <w:rPr>
          <w:i/>
          <w:iCs/>
          <w:sz w:val="28"/>
          <w:szCs w:val="28"/>
        </w:rPr>
        <w:t>валидность</w:t>
      </w:r>
      <w:proofErr w:type="spellEnd"/>
      <w:r w:rsidRPr="00CC2F41">
        <w:rPr>
          <w:i/>
          <w:iCs/>
          <w:sz w:val="28"/>
          <w:szCs w:val="28"/>
        </w:rPr>
        <w:t xml:space="preserve"> (</w:t>
      </w:r>
      <w:proofErr w:type="spellStart"/>
      <w:r w:rsidRPr="00CC2F41">
        <w:rPr>
          <w:i/>
          <w:iCs/>
          <w:sz w:val="28"/>
          <w:szCs w:val="28"/>
        </w:rPr>
        <w:t>facevalidity</w:t>
      </w:r>
      <w:proofErr w:type="spellEnd"/>
      <w:r w:rsidRPr="00CC2F41">
        <w:rPr>
          <w:i/>
          <w:iCs/>
          <w:sz w:val="28"/>
          <w:szCs w:val="28"/>
        </w:rPr>
        <w:t>) вопросов (утверждений).</w:t>
      </w:r>
      <w:r w:rsidRPr="00CC2F41">
        <w:rPr>
          <w:sz w:val="28"/>
          <w:szCs w:val="28"/>
        </w:rPr>
        <w:t xml:space="preserve"> Несомненно, в тестах личности необходима уверенность в том, что ответы на вопросы могут рассматриваться как правдивые.</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(6) </w:t>
      </w:r>
      <w:r w:rsidRPr="00CC2F41">
        <w:rPr>
          <w:i/>
          <w:iCs/>
          <w:sz w:val="28"/>
          <w:szCs w:val="28"/>
        </w:rPr>
        <w:t>Выборка из генеральной совокупности вопросов.</w:t>
      </w:r>
      <w:r w:rsidRPr="00CC2F41">
        <w:rPr>
          <w:sz w:val="28"/>
          <w:szCs w:val="28"/>
        </w:rPr>
        <w:t xml:space="preserve"> В тестах интеллекта и специальных способностей, обсуждавшихся в предыдущей главе, относительно легко убедиться в том, что задания принадлежат или с высокой степенью вероятности выглядят принадлежащими к подразумеваемой для них генеральной совокупности. Лингвистические задания нелегко перепутать с математическими или какими-либо другими. Однако, в области особенностей личности и темперамента все гораздо сложнее. </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 (7) </w:t>
      </w:r>
      <w:r w:rsidRPr="00CC2F41">
        <w:rPr>
          <w:i/>
          <w:iCs/>
          <w:sz w:val="28"/>
          <w:szCs w:val="28"/>
        </w:rPr>
        <w:t>Выборка из генеральной совокупности испытуемых.</w:t>
      </w:r>
      <w:r w:rsidRPr="00CC2F41">
        <w:rPr>
          <w:sz w:val="28"/>
          <w:szCs w:val="28"/>
        </w:rPr>
        <w:t xml:space="preserve"> В личностных тестах труднее обеспечить адекватность выборки из выборочной совокупности, чем в тестах способностей. При использовании тестов способностей обычно известна вполне определенная категория лиц (популяция), для которой данный тест предназначен, и таким образом, по крайней мере в принципе, можно эффективно подбирать выборки. Однако, в личностных тестах, в отличие от тестов, разрабатывающихся для испытуемых с той или иной патологией, в идеале нужны выборки из общей популяции (т.е. всего населения страны), в которой встречаются все возможные показатели. Такие выборки должны быть большими, и их обычно трудно получить. </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(8) </w:t>
      </w:r>
      <w:r w:rsidRPr="00CC2F41">
        <w:rPr>
          <w:i/>
          <w:iCs/>
          <w:sz w:val="28"/>
          <w:szCs w:val="28"/>
        </w:rPr>
        <w:t xml:space="preserve">Проблемы в установлении адекватного критерия </w:t>
      </w:r>
      <w:proofErr w:type="spellStart"/>
      <w:r w:rsidRPr="00CC2F41">
        <w:rPr>
          <w:i/>
          <w:iCs/>
          <w:sz w:val="28"/>
          <w:szCs w:val="28"/>
        </w:rPr>
        <w:t>валидности</w:t>
      </w:r>
      <w:proofErr w:type="spellEnd"/>
      <w:r w:rsidRPr="00CC2F41">
        <w:rPr>
          <w:i/>
          <w:iCs/>
          <w:sz w:val="28"/>
          <w:szCs w:val="28"/>
        </w:rPr>
        <w:t>.</w:t>
      </w:r>
      <w:r w:rsidRPr="00CC2F41">
        <w:rPr>
          <w:sz w:val="28"/>
          <w:szCs w:val="28"/>
        </w:rPr>
        <w:t xml:space="preserve"> Существует значительная трудность в нахождении адекватного критерия для непараметрических показателей – сила воли, авторитаризм, смелость и т.д.</w:t>
      </w:r>
    </w:p>
    <w:p w:rsidR="00E26495" w:rsidRPr="00A77576" w:rsidRDefault="00E26495" w:rsidP="00E26495">
      <w:pPr>
        <w:pStyle w:val="text"/>
        <w:spacing w:before="0" w:beforeAutospacing="0" w:after="0" w:afterAutospacing="0"/>
        <w:ind w:right="-102"/>
        <w:jc w:val="center"/>
        <w:rPr>
          <w:bCs/>
          <w:sz w:val="28"/>
          <w:szCs w:val="28"/>
        </w:rPr>
      </w:pPr>
      <w:r>
        <w:rPr>
          <w:bCs/>
          <w:sz w:val="28"/>
          <w:szCs w:val="28"/>
        </w:rPr>
        <w:t xml:space="preserve">38.3 </w:t>
      </w:r>
      <w:r w:rsidRPr="00A77576">
        <w:rPr>
          <w:bCs/>
          <w:sz w:val="28"/>
          <w:szCs w:val="28"/>
        </w:rPr>
        <w:t>ФОРМЫ ФОРМУЛИРОВАНИЯ ВОПРОСОВ (УТВЕРЖДЕНИЙ)</w:t>
      </w:r>
    </w:p>
    <w:p w:rsidR="00E26495" w:rsidRPr="00CC2F41" w:rsidRDefault="00E26495" w:rsidP="00E26495">
      <w:pPr>
        <w:pStyle w:val="text"/>
        <w:spacing w:before="0" w:beforeAutospacing="0" w:after="0" w:afterAutospacing="0"/>
        <w:ind w:right="-102"/>
        <w:jc w:val="center"/>
        <w:rPr>
          <w:sz w:val="28"/>
          <w:szCs w:val="28"/>
        </w:rPr>
      </w:pPr>
      <w:r w:rsidRPr="00A77576">
        <w:rPr>
          <w:bCs/>
          <w:sz w:val="28"/>
          <w:szCs w:val="28"/>
        </w:rPr>
        <w:t>В ЛИЧНОСТНЫХ ОПРОСНИКАХ</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 (1) </w:t>
      </w:r>
      <w:r w:rsidRPr="00CC2F41">
        <w:rPr>
          <w:i/>
          <w:iCs/>
          <w:sz w:val="28"/>
          <w:szCs w:val="28"/>
        </w:rPr>
        <w:t xml:space="preserve">Вопросы с ответом типа "да-нет". </w:t>
      </w:r>
      <w:r w:rsidRPr="00CC2F41">
        <w:rPr>
          <w:sz w:val="28"/>
          <w:szCs w:val="28"/>
        </w:rPr>
        <w:t xml:space="preserve">Типичный дихотомический вопрос: "Любите ли вы загорать на пляже?" </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(2) </w:t>
      </w:r>
      <w:r w:rsidRPr="00CC2F41">
        <w:rPr>
          <w:i/>
          <w:iCs/>
          <w:sz w:val="28"/>
          <w:szCs w:val="28"/>
        </w:rPr>
        <w:t>Вопросы с ответами типа "д</w:t>
      </w:r>
      <w:proofErr w:type="gramStart"/>
      <w:r w:rsidRPr="00CC2F41">
        <w:rPr>
          <w:i/>
          <w:iCs/>
          <w:sz w:val="28"/>
          <w:szCs w:val="28"/>
        </w:rPr>
        <w:t>а</w:t>
      </w:r>
      <w:r w:rsidRPr="00CC2F41">
        <w:rPr>
          <w:sz w:val="28"/>
          <w:szCs w:val="28"/>
        </w:rPr>
        <w:t>-</w:t>
      </w:r>
      <w:proofErr w:type="gramEnd"/>
      <w:r w:rsidRPr="00CC2F41">
        <w:rPr>
          <w:sz w:val="28"/>
          <w:szCs w:val="28"/>
        </w:rPr>
        <w:t>?-</w:t>
      </w:r>
      <w:r w:rsidRPr="00CC2F41">
        <w:rPr>
          <w:i/>
          <w:iCs/>
          <w:sz w:val="28"/>
          <w:szCs w:val="28"/>
        </w:rPr>
        <w:t>нет", "да-затрудняюсь ответить – нет".</w:t>
      </w:r>
      <w:r w:rsidRPr="00CC2F41">
        <w:rPr>
          <w:sz w:val="28"/>
          <w:szCs w:val="28"/>
        </w:rPr>
        <w:t xml:space="preserve"> Это вариант вопросов типа "да-нет", описанных выше, с добавлением категории неопределенности, потому что некоторые испытуемые становятся раздражительными </w:t>
      </w:r>
      <w:r w:rsidRPr="00CC2F41">
        <w:rPr>
          <w:i/>
          <w:iCs/>
          <w:sz w:val="28"/>
          <w:szCs w:val="28"/>
        </w:rPr>
        <w:t>к</w:t>
      </w:r>
      <w:r w:rsidRPr="00CC2F41">
        <w:rPr>
          <w:sz w:val="28"/>
          <w:szCs w:val="28"/>
        </w:rPr>
        <w:t xml:space="preserve"> несговорчивыми, если их заставляют отвечать либо "да", либо "нет" на вопросы, в ответах на которые они не очень уверены. </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(3) </w:t>
      </w:r>
      <w:r w:rsidRPr="00CC2F41">
        <w:rPr>
          <w:i/>
          <w:iCs/>
          <w:sz w:val="28"/>
          <w:szCs w:val="28"/>
        </w:rPr>
        <w:t>Альтернативные задания</w:t>
      </w:r>
      <w:r w:rsidRPr="00CC2F41">
        <w:rPr>
          <w:sz w:val="28"/>
          <w:szCs w:val="28"/>
        </w:rPr>
        <w:t xml:space="preserve"> (с ответами типа "правда-ложь"). </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(4) </w:t>
      </w:r>
      <w:r w:rsidRPr="00CC2F41">
        <w:rPr>
          <w:i/>
          <w:iCs/>
          <w:sz w:val="28"/>
          <w:szCs w:val="28"/>
        </w:rPr>
        <w:t>Задания с ответами типа "нравится-не нравится"</w:t>
      </w:r>
      <w:r w:rsidRPr="00CC2F41">
        <w:rPr>
          <w:sz w:val="28"/>
          <w:szCs w:val="28"/>
        </w:rPr>
        <w:t xml:space="preserve"> (одно слово или фраза).</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(5) </w:t>
      </w:r>
      <w:r w:rsidRPr="00CC2F41">
        <w:rPr>
          <w:i/>
          <w:iCs/>
          <w:sz w:val="28"/>
          <w:szCs w:val="28"/>
        </w:rPr>
        <w:t>Задания с рейтинговыми шкалами.</w:t>
      </w:r>
      <w:r w:rsidRPr="00CC2F41">
        <w:rPr>
          <w:sz w:val="28"/>
          <w:szCs w:val="28"/>
        </w:rPr>
        <w:t xml:space="preserve"> Эти задания состоят из предложений, к которым прилагаются рейтинговые шкалы. Типичным примером может быть: "Мне нравится бывать с друзьями в кафе: всегда, очень часто, часто, от случая к случаю, редко, очень редко, никогда". Очевидной проблемой для этой шкалы является различная интерпретация индивидуумами терминов частоты. </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(6) </w:t>
      </w:r>
      <w:r w:rsidRPr="00CC2F41">
        <w:rPr>
          <w:i/>
          <w:iCs/>
          <w:sz w:val="28"/>
          <w:szCs w:val="28"/>
        </w:rPr>
        <w:t>Разнообразные трихотомические задания.</w:t>
      </w:r>
      <w:r w:rsidRPr="00CC2F41">
        <w:rPr>
          <w:sz w:val="28"/>
          <w:szCs w:val="28"/>
        </w:rPr>
        <w:t xml:space="preserve"> В действительности это варианты трихотомической формы вопроса типа "да-нет" (тип 1 в данном списке). Примерами трихотомий являются: "обычно – иногда – никогда", "верно – не знаю – неверно", "согласен – не уверен – не согласен". Эти варианты предоставляют большую гибкость при формулировании заданий, чем жесткие формы типа "да-нет" (дихотомическая) или альтернативные. </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(7) </w:t>
      </w:r>
      <w:r w:rsidRPr="00CC2F41">
        <w:rPr>
          <w:i/>
          <w:iCs/>
          <w:sz w:val="28"/>
          <w:szCs w:val="28"/>
        </w:rPr>
        <w:t>Трихотомические задания с выбором.</w:t>
      </w:r>
      <w:r w:rsidRPr="00CC2F41">
        <w:rPr>
          <w:sz w:val="28"/>
          <w:szCs w:val="28"/>
        </w:rPr>
        <w:t xml:space="preserve"> Это варианты типа (6), позволяющие вложить в лаконичную форму задания почти любую мысль. В них используются три завершающих предложение фразы, одну из которых испытуемый должен выбрать. Вот типичный пример: "Когда мне нечего делать, я могу: (а) позвонить другу, чтобы поболтать; (б) заняться разгадыванием трудного кроссворда; (в) пойти на джазовый концерт". </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(8) </w:t>
      </w:r>
      <w:r w:rsidRPr="00CC2F41">
        <w:rPr>
          <w:i/>
          <w:iCs/>
          <w:sz w:val="28"/>
          <w:szCs w:val="28"/>
        </w:rPr>
        <w:t>Задания с вынужденным выбором.</w:t>
      </w:r>
      <w:r w:rsidRPr="00CC2F41">
        <w:rPr>
          <w:sz w:val="28"/>
          <w:szCs w:val="28"/>
        </w:rPr>
        <w:t xml:space="preserve"> В таких заданиях испытуемые принуждаются к выбору того, какое из (обычно двух) утверждений более точно применимо к ним или более верно для них, хотя может быть и больше вариантов выбора.</w:t>
      </w:r>
    </w:p>
    <w:p w:rsidR="00E26495" w:rsidRDefault="00E26495" w:rsidP="00E26495">
      <w:pPr>
        <w:pStyle w:val="text"/>
        <w:spacing w:before="0" w:beforeAutospacing="0" w:after="0" w:afterAutospacing="0"/>
        <w:ind w:right="-104"/>
        <w:jc w:val="both"/>
        <w:rPr>
          <w:sz w:val="28"/>
          <w:szCs w:val="28"/>
        </w:rPr>
      </w:pPr>
      <w:r w:rsidRPr="00CC2F41">
        <w:rPr>
          <w:sz w:val="28"/>
          <w:szCs w:val="28"/>
        </w:rPr>
        <w:t xml:space="preserve">(9) </w:t>
      </w:r>
      <w:r w:rsidRPr="00CC2F41">
        <w:rPr>
          <w:i/>
          <w:iCs/>
          <w:sz w:val="28"/>
          <w:szCs w:val="28"/>
        </w:rPr>
        <w:t>Другие формы.</w:t>
      </w:r>
      <w:r w:rsidRPr="00CC2F41">
        <w:rPr>
          <w:sz w:val="28"/>
          <w:szCs w:val="28"/>
        </w:rPr>
        <w:t xml:space="preserve"> Основные типы заданий, описанные в пунктах (1) – (8), – это те, которые в основном используются в наиболее известных личностных опросниках. Все они, с точки зрения формы (в отличие от содержания), довольно легко формулируются, но для них существует несколько правил, которые буду обсуждены.</w:t>
      </w:r>
    </w:p>
    <w:p w:rsidR="00E26495" w:rsidRPr="00CC2F41" w:rsidRDefault="00E26495" w:rsidP="00E26495">
      <w:pPr>
        <w:pStyle w:val="text"/>
        <w:spacing w:before="0" w:beforeAutospacing="0" w:after="0" w:afterAutospacing="0"/>
        <w:ind w:right="-104"/>
        <w:jc w:val="both"/>
        <w:rPr>
          <w:sz w:val="28"/>
          <w:szCs w:val="28"/>
        </w:rPr>
      </w:pPr>
    </w:p>
    <w:p w:rsidR="00E26495" w:rsidRPr="00924EA5" w:rsidRDefault="00E26495" w:rsidP="00E26495">
      <w:pPr>
        <w:pStyle w:val="text"/>
        <w:spacing w:before="0" w:beforeAutospacing="0" w:after="0" w:afterAutospacing="0"/>
        <w:ind w:right="-104"/>
        <w:jc w:val="center"/>
        <w:rPr>
          <w:sz w:val="28"/>
          <w:szCs w:val="28"/>
        </w:rPr>
      </w:pPr>
      <w:r>
        <w:rPr>
          <w:sz w:val="28"/>
          <w:szCs w:val="28"/>
        </w:rPr>
        <w:t xml:space="preserve">38.4 </w:t>
      </w:r>
      <w:r w:rsidRPr="00924EA5">
        <w:rPr>
          <w:sz w:val="28"/>
          <w:szCs w:val="28"/>
        </w:rPr>
        <w:t>ПРАВИЛА ДЛЯ ФОРМУЛИРОВАНИЯ ЗАДАНИЙ</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 (1) </w:t>
      </w:r>
      <w:r w:rsidRPr="00CC2F41">
        <w:rPr>
          <w:i/>
          <w:iCs/>
          <w:sz w:val="28"/>
          <w:szCs w:val="28"/>
        </w:rPr>
        <w:t>Устраняйте возможность проникновения испытуемых в суть того, что изучается при помощи данных заданий.</w:t>
      </w:r>
      <w:r w:rsidRPr="00CC2F41">
        <w:rPr>
          <w:sz w:val="28"/>
          <w:szCs w:val="28"/>
        </w:rPr>
        <w:t xml:space="preserve"> Это делается не ради того, чтобы ввести их в заблуждение, а потому, что если испытуемые догадаются, что некоторое задание предназначено для измерения черты X, то ответы будут отражать их точку зрения по выраженности у себя этой черты, а не реальное положение дел.</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(2) </w:t>
      </w:r>
      <w:r w:rsidRPr="00CC2F41">
        <w:rPr>
          <w:i/>
          <w:iCs/>
          <w:sz w:val="28"/>
          <w:szCs w:val="28"/>
        </w:rPr>
        <w:t>Формулируйте понятные, недвусмысленные вопросы (утверждения).</w:t>
      </w:r>
      <w:r w:rsidRPr="00CC2F41">
        <w:rPr>
          <w:sz w:val="28"/>
          <w:szCs w:val="28"/>
        </w:rPr>
        <w:t xml:space="preserve"> Это важно для того, чтобы уменьшить погрешность, возникающую из-за неверного понимания вопросов. Высокая надежность зависит, в известной степени, от этого качества теста. </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(3) </w:t>
      </w:r>
      <w:r w:rsidRPr="00CC2F41">
        <w:rPr>
          <w:i/>
          <w:iCs/>
          <w:sz w:val="28"/>
          <w:szCs w:val="28"/>
        </w:rPr>
        <w:t>Задания должны отражать конкретные, а не общие аспекты изучаемой области поведения.</w:t>
      </w:r>
      <w:r w:rsidRPr="00CC2F41">
        <w:rPr>
          <w:sz w:val="28"/>
          <w:szCs w:val="28"/>
        </w:rPr>
        <w:t xml:space="preserve"> Так, задание вида: "Нравится ли вам спорт?" – является слишком общим: термин "спорт" – неопределенный, как и термин "нравится". Необходимо задать более конкретный вопрос: "Вы играете регулярно в какую-либо спортивную игру?" или "Вы регулярно следите за игрой вашей любимой спортивной команды?", "Следите ли вы за результатами скачек?" На эти вопросы, ответы на которые вряд ли будут фальсифицировать или относительно которых реальное поведение вряд ли изменится, испытуемые будут отвечать одинаково, когда бы вы их ни тестировали. </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(4) </w:t>
      </w:r>
      <w:r w:rsidRPr="00CC2F41">
        <w:rPr>
          <w:i/>
          <w:iCs/>
          <w:sz w:val="28"/>
          <w:szCs w:val="28"/>
        </w:rPr>
        <w:t>В каждом задании следует задавать только один вопрос или делать только одно утверждение.</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(5) </w:t>
      </w:r>
      <w:r w:rsidRPr="00CC2F41">
        <w:rPr>
          <w:i/>
          <w:iCs/>
          <w:sz w:val="28"/>
          <w:szCs w:val="28"/>
        </w:rPr>
        <w:t>Избегайте, насколько это возможно, слов, определяющих частоту действий.</w:t>
      </w:r>
      <w:r w:rsidRPr="00CC2F41">
        <w:rPr>
          <w:sz w:val="28"/>
          <w:szCs w:val="28"/>
        </w:rPr>
        <w:t xml:space="preserve"> Они обычно настолько субъективны, что вносят большую неопределенность</w:t>
      </w:r>
      <w:proofErr w:type="gramStart"/>
      <w:r w:rsidRPr="00CC2F41">
        <w:rPr>
          <w:sz w:val="28"/>
          <w:szCs w:val="28"/>
        </w:rPr>
        <w:t>.Н</w:t>
      </w:r>
      <w:proofErr w:type="gramEnd"/>
      <w:r w:rsidRPr="00CC2F41">
        <w:rPr>
          <w:sz w:val="28"/>
          <w:szCs w:val="28"/>
        </w:rPr>
        <w:t xml:space="preserve">апример: "Часто ли вам снятся сны?" Здесь все зависит от значения слова "часто". Некоторые испытуемые могут испытывать такое чувство, что видеть сон раз в месяц – это часто, и ответят на вопрос утвердительно. Другие могут возразить, что один сон за ночь – это не часто, потому что исследования показали, что людям снятся три-четыре сна за ночь, и ответят "нет". Вопрос, таким образом, становится бессмысленным. Ответы указывают противоположное тому, что происходит на самом деле. Улучшенный вопрос будет звучать: "Снятся ли вам сны дважды в неделю или чаще?" </w:t>
      </w:r>
    </w:p>
    <w:p w:rsidR="00E26495" w:rsidRPr="00CC2F41" w:rsidRDefault="00E26495" w:rsidP="00E26495">
      <w:pPr>
        <w:pStyle w:val="text"/>
        <w:spacing w:before="0" w:beforeAutospacing="0" w:after="0" w:afterAutospacing="0"/>
        <w:ind w:right="-104"/>
        <w:jc w:val="both"/>
        <w:rPr>
          <w:sz w:val="28"/>
          <w:szCs w:val="28"/>
        </w:rPr>
      </w:pPr>
      <w:r w:rsidRPr="00CC2F41">
        <w:rPr>
          <w:sz w:val="28"/>
          <w:szCs w:val="28"/>
        </w:rPr>
        <w:t xml:space="preserve">(6) </w:t>
      </w:r>
      <w:r w:rsidRPr="00CC2F41">
        <w:rPr>
          <w:i/>
          <w:iCs/>
          <w:sz w:val="28"/>
          <w:szCs w:val="28"/>
        </w:rPr>
        <w:t>Насколько возможно, избегайте терминов, выражающих чувства.</w:t>
      </w:r>
      <w:r w:rsidRPr="00CC2F41">
        <w:rPr>
          <w:sz w:val="28"/>
          <w:szCs w:val="28"/>
        </w:rPr>
        <w:t xml:space="preserve"> Вместо этого, попытайтесь представить задание в контексте поведения. Это правило было проиллюстрировано в пункте (3) выше, в котором задание было сформулировано более конкретно с целью повышения надежности при тестировании по истечении некоторого времени. Для этого слово "нравится" было заменено на "играете". Если только задание может быть сформулировано так, чтобы неопределенные слова о чувствах могли быть заменены на описание поведения, это должно быть сделано. Когда это невозможно, конечно же, стоит попытаться составить задания, в которых описываются чувства. Их пригодность или непригодность будет выявлена на этапе анализа заданий. </w:t>
      </w:r>
    </w:p>
    <w:p w:rsidR="00E26495" w:rsidRPr="00CC2F41" w:rsidRDefault="00E26495" w:rsidP="00E26495">
      <w:pPr>
        <w:jc w:val="both"/>
        <w:rPr>
          <w:sz w:val="28"/>
          <w:szCs w:val="28"/>
        </w:rPr>
      </w:pPr>
      <w:r w:rsidRPr="00CC2F41">
        <w:rPr>
          <w:sz w:val="28"/>
          <w:szCs w:val="28"/>
        </w:rPr>
        <w:t xml:space="preserve">(7) </w:t>
      </w:r>
      <w:r w:rsidRPr="00CC2F41">
        <w:rPr>
          <w:i/>
          <w:iCs/>
          <w:sz w:val="28"/>
          <w:szCs w:val="28"/>
        </w:rPr>
        <w:t>При помощи инструкций обеспечьте, чтобы испытуемые давали первые приходящие на ум ответы.</w:t>
      </w:r>
      <w:r w:rsidRPr="00CC2F41">
        <w:rPr>
          <w:sz w:val="28"/>
          <w:szCs w:val="28"/>
        </w:rPr>
        <w:t xml:space="preserve"> Не позволяйте испытуемым долго размышлять над значением заданий. Эффективное задание личностного теста, которое действительно имеет отношение к поведению испытуемого, должно вызвать немедленную и точную реакцию. В противном случае вероятно, что задание не выявляет ту область поведения, которая имеет существенное отношение к измерению личностных качеств. Некоторые примеры прояснят этот момент.</w:t>
      </w:r>
    </w:p>
    <w:p w:rsidR="00A6639B" w:rsidRPr="008060A1" w:rsidRDefault="00A6639B" w:rsidP="008060A1">
      <w:pPr>
        <w:spacing w:after="200" w:line="276" w:lineRule="auto"/>
        <w:rPr>
          <w:sz w:val="28"/>
          <w:szCs w:val="28"/>
        </w:rPr>
      </w:pPr>
    </w:p>
    <w:sectPr w:rsidR="00A6639B" w:rsidRPr="008060A1" w:rsidSect="00E87F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Segoe UI"/>
    <w:charset w:val="CC"/>
    <w:family w:val="swiss"/>
    <w:pitch w:val="variable"/>
    <w:sig w:usb0="20000287"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EF1AFA"/>
    <w:multiLevelType w:val="hybridMultilevel"/>
    <w:tmpl w:val="472E37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26495"/>
    <w:rsid w:val="003960C5"/>
    <w:rsid w:val="00691A73"/>
    <w:rsid w:val="008060A1"/>
    <w:rsid w:val="009963E9"/>
    <w:rsid w:val="00A6639B"/>
    <w:rsid w:val="00E26495"/>
    <w:rsid w:val="00E87F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6495"/>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uiPriority w:val="9"/>
    <w:qFormat/>
    <w:rsid w:val="00E26495"/>
    <w:pPr>
      <w:keepNext/>
      <w:spacing w:before="120"/>
      <w:ind w:firstLine="709"/>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26495"/>
    <w:rPr>
      <w:rFonts w:ascii="Times New Roman" w:eastAsia="Times New Roman" w:hAnsi="Times New Roman" w:cs="Times New Roman"/>
      <w:sz w:val="28"/>
      <w:szCs w:val="20"/>
      <w:lang w:eastAsia="ru-RU"/>
    </w:rPr>
  </w:style>
  <w:style w:type="paragraph" w:styleId="2">
    <w:name w:val="Body Text 2"/>
    <w:basedOn w:val="a"/>
    <w:link w:val="20"/>
    <w:uiPriority w:val="99"/>
    <w:rsid w:val="00E26495"/>
    <w:pPr>
      <w:spacing w:after="120" w:line="480" w:lineRule="auto"/>
    </w:pPr>
    <w:rPr>
      <w:sz w:val="24"/>
      <w:szCs w:val="24"/>
    </w:rPr>
  </w:style>
  <w:style w:type="character" w:customStyle="1" w:styleId="20">
    <w:name w:val="Основной текст 2 Знак"/>
    <w:basedOn w:val="a0"/>
    <w:link w:val="2"/>
    <w:uiPriority w:val="99"/>
    <w:rsid w:val="00E26495"/>
    <w:rPr>
      <w:rFonts w:ascii="Times New Roman" w:eastAsia="Times New Roman" w:hAnsi="Times New Roman" w:cs="Times New Roman"/>
      <w:sz w:val="24"/>
      <w:szCs w:val="24"/>
      <w:lang w:eastAsia="ru-RU"/>
    </w:rPr>
  </w:style>
  <w:style w:type="paragraph" w:customStyle="1" w:styleId="text">
    <w:name w:val="text"/>
    <w:basedOn w:val="a"/>
    <w:rsid w:val="00E26495"/>
    <w:pPr>
      <w:spacing w:before="100" w:beforeAutospacing="1" w:after="100" w:afterAutospacing="1"/>
    </w:pPr>
    <w:rPr>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3026</Words>
  <Characters>17254</Characters>
  <Application>Microsoft Office Word</Application>
  <DocSecurity>4</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Fencuor</dc:creator>
  <cp:lastModifiedBy>ИВАШКО</cp:lastModifiedBy>
  <cp:revision>2</cp:revision>
  <dcterms:created xsi:type="dcterms:W3CDTF">2020-01-02T19:42:00Z</dcterms:created>
  <dcterms:modified xsi:type="dcterms:W3CDTF">2020-01-02T19:42:00Z</dcterms:modified>
</cp:coreProperties>
</file>